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Wartell Michael J.</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60" w:type="dxa"/>
            <w:vAlign w:val="bottom"/>
            <w:tcBorders>
              <w:top w:val="single" w:sz="8" w:color="0000EE"/>
              <w:bottom w:val="single" w:sz="8" w:color="9A9A9A"/>
            </w:tcBorders>
          </w:tcPr>
          <w:p>
            <w:pPr>
              <w:spacing w:after="0"/>
              <w:rPr>
                <w:sz w:val="17"/>
                <w:szCs w:val="17"/>
                <w:color w:val="auto"/>
              </w:rPr>
            </w:pPr>
          </w:p>
        </w:tc>
        <w:tc>
          <w:tcPr>
            <w:tcW w:w="13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11/02/2026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FRACTYL HEALTH,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GUTS</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9" w:lineRule="exact"/>
        <w:rPr>
          <w:sz w:val="24"/>
          <w:szCs w:val="24"/>
          <w:color w:val="auto"/>
        </w:rPr>
      </w:pPr>
    </w:p>
    <w:p>
      <w:pPr>
        <w:spacing w:after="0"/>
        <w:rPr>
          <w:sz w:val="20"/>
          <w:szCs w:val="20"/>
          <w:color w:val="auto"/>
        </w:rPr>
      </w:pPr>
      <w:r>
        <w:rPr>
          <w:rFonts w:ascii="Arial" w:cs="Arial" w:eastAsia="Arial" w:hAnsi="Arial"/>
          <w:sz w:val="15"/>
          <w:szCs w:val="15"/>
          <w:color w:val="auto"/>
        </w:rPr>
        <w:t>Foreign Trading Symbol</w:t>
      </w:r>
    </w:p>
    <w:p>
      <w:pPr>
        <w:spacing w:after="0" w:line="26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3 VAN DE GRAAFF DRIVE,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200</w:t>
      </w:r>
    </w:p>
    <w:p>
      <w:pPr>
        <w:spacing w:after="0" w:line="37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65"/>
        </w:trPr>
        <w:tc>
          <w:tcPr>
            <w:tcW w:w="1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BURLINGTON MA</w:t>
            </w:r>
          </w:p>
        </w:tc>
        <w:tc>
          <w:tcPr>
            <w:tcW w:w="1220" w:type="dxa"/>
            <w:vAlign w:val="bottom"/>
          </w:tcPr>
          <w:p>
            <w:pPr>
              <w:jc w:val="right"/>
              <w:ind w:right="314"/>
              <w:spacing w:after="0"/>
              <w:rPr>
                <w:sz w:val="20"/>
                <w:szCs w:val="20"/>
                <w:color w:val="auto"/>
              </w:rPr>
            </w:pPr>
            <w:r>
              <w:rPr>
                <w:rFonts w:ascii="Times New Roman" w:cs="Times New Roman" w:eastAsia="Times New Roman" w:hAnsi="Times New Roman"/>
                <w:sz w:val="20"/>
                <w:szCs w:val="20"/>
                <w:color w:val="0000FF"/>
              </w:rPr>
              <w:t>01803</w:t>
            </w:r>
          </w:p>
        </w:tc>
      </w:tr>
      <w:tr>
        <w:trPr>
          <w:trHeight w:val="177"/>
        </w:trPr>
        <w:tc>
          <w:tcPr>
            <w:tcW w:w="7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100" w:type="dxa"/>
            <w:vAlign w:val="bottom"/>
          </w:tcPr>
          <w:p>
            <w:pPr>
              <w:ind w:left="280"/>
              <w:spacing w:after="0"/>
              <w:rPr>
                <w:sz w:val="20"/>
                <w:szCs w:val="20"/>
                <w:color w:val="auto"/>
              </w:rPr>
            </w:pPr>
            <w:r>
              <w:rPr>
                <w:rFonts w:ascii="Arial" w:cs="Arial" w:eastAsia="Arial" w:hAnsi="Arial"/>
                <w:sz w:val="15"/>
                <w:szCs w:val="15"/>
                <w:color w:val="auto"/>
              </w:rPr>
              <w:t>(State)</w:t>
            </w:r>
          </w:p>
        </w:tc>
        <w:tc>
          <w:tcPr>
            <w:tcW w:w="1220" w:type="dxa"/>
            <w:vAlign w:val="bottom"/>
          </w:tcPr>
          <w:p>
            <w:pPr>
              <w:jc w:val="right"/>
              <w:ind w:right="614"/>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51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Harith Rajagopalan,</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306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w w:val="98"/>
              </w:rPr>
              <w:t>M.D., Ph.D., Attorney-in-  11/06/2026</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800" w:type="dxa"/>
            <w:vAlign w:val="bottom"/>
            <w:tcBorders>
              <w:top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rPr>
              <w:t>fact</w:t>
            </w:r>
          </w:p>
        </w:tc>
        <w:tc>
          <w:tcPr>
            <w:tcW w:w="2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180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180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34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34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Exhibit 24</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32" w:lineRule="exact"/>
        <w:rPr>
          <w:sz w:val="20"/>
          <w:szCs w:val="20"/>
          <w:color w:val="auto"/>
        </w:rPr>
      </w:pPr>
    </w:p>
    <w:p>
      <w:pPr>
        <w:jc w:val="both"/>
        <w:ind w:firstLine="729"/>
        <w:spacing w:after="0" w:line="269" w:lineRule="auto"/>
        <w:rPr>
          <w:sz w:val="20"/>
          <w:szCs w:val="20"/>
          <w:color w:val="auto"/>
        </w:rPr>
      </w:pPr>
      <w:r>
        <w:rPr>
          <w:rFonts w:ascii="Times New Roman" w:cs="Times New Roman" w:eastAsia="Times New Roman" w:hAnsi="Times New Roman"/>
          <w:sz w:val="20"/>
          <w:szCs w:val="20"/>
          <w:color w:val="auto"/>
        </w:rPr>
        <w:t>With respect to holdings of and transactions in securities issued by Fractyl Health,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xml:space="preserve">”), the undersigned hereby constitutes and appoints the individuals named on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attached hereto and as may be amended from time to time, or any of them signing singly, with full power of substitution and resubstitution, to act as the undersigned’s true and lawful attorney-in-fact to:</w:t>
      </w:r>
    </w:p>
    <w:p>
      <w:pPr>
        <w:spacing w:after="0" w:line="223" w:lineRule="exact"/>
        <w:rPr>
          <w:sz w:val="20"/>
          <w:szCs w:val="20"/>
          <w:color w:val="auto"/>
        </w:rPr>
      </w:pPr>
    </w:p>
    <w:p>
      <w:pPr>
        <w:ind w:left="1460" w:hanging="680"/>
        <w:spacing w:after="0" w:line="258" w:lineRule="auto"/>
        <w:tabs>
          <w:tab w:leader="none" w:pos="1321"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United States Securities and Exchange Commission (the “</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234" w:lineRule="exact"/>
        <w:rPr>
          <w:rFonts w:ascii="Times New Roman" w:cs="Times New Roman" w:eastAsia="Times New Roman" w:hAnsi="Times New Roman"/>
          <w:sz w:val="20"/>
          <w:szCs w:val="20"/>
          <w:color w:val="auto"/>
        </w:rPr>
      </w:pPr>
    </w:p>
    <w:p>
      <w:pPr>
        <w:ind w:left="1460" w:right="20" w:hanging="680"/>
        <w:spacing w:after="0" w:line="282" w:lineRule="auto"/>
        <w:tabs>
          <w:tab w:leader="none" w:pos="1182"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Forms 3, 4, and 5 in accordance with Section 16 of the Securities Exchange Act of 1934, as amended, and the rules thereunder;</w:t>
      </w:r>
    </w:p>
    <w:p>
      <w:pPr>
        <w:spacing w:after="0" w:line="209" w:lineRule="exact"/>
        <w:rPr>
          <w:rFonts w:ascii="Times New Roman" w:cs="Times New Roman" w:eastAsia="Times New Roman" w:hAnsi="Times New Roman"/>
          <w:sz w:val="20"/>
          <w:szCs w:val="20"/>
          <w:color w:val="auto"/>
        </w:rPr>
      </w:pPr>
    </w:p>
    <w:p>
      <w:pPr>
        <w:ind w:left="1460" w:right="20" w:hanging="617"/>
        <w:spacing w:after="0" w:line="266" w:lineRule="auto"/>
        <w:tabs>
          <w:tab w:leader="none" w:pos="1182"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26" w:lineRule="exact"/>
        <w:rPr>
          <w:sz w:val="20"/>
          <w:szCs w:val="20"/>
          <w:color w:val="auto"/>
        </w:rPr>
      </w:pPr>
    </w:p>
    <w:p>
      <w:pPr>
        <w:ind w:left="1460" w:hanging="680"/>
        <w:spacing w:after="0" w:line="258" w:lineRule="auto"/>
        <w:tabs>
          <w:tab w:leader="none" w:pos="1182"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5" w:lineRule="exact"/>
        <w:rPr>
          <w:sz w:val="20"/>
          <w:szCs w:val="20"/>
          <w:color w:val="auto"/>
        </w:rPr>
      </w:pPr>
    </w:p>
    <w:p>
      <w:pPr>
        <w:jc w:val="both"/>
        <w:ind w:firstLine="400"/>
        <w:spacing w:after="0" w:line="258"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35" w:lineRule="exact"/>
        <w:rPr>
          <w:sz w:val="20"/>
          <w:szCs w:val="20"/>
          <w:color w:val="auto"/>
        </w:rPr>
      </w:pPr>
    </w:p>
    <w:p>
      <w:pPr>
        <w:jc w:val="both"/>
        <w:ind w:firstLine="729"/>
        <w:spacing w:after="0" w:line="266" w:lineRule="auto"/>
        <w:rPr>
          <w:sz w:val="20"/>
          <w:szCs w:val="20"/>
          <w:color w:val="auto"/>
        </w:rPr>
      </w:pPr>
      <w:r>
        <w:rPr>
          <w:rFonts w:ascii="Times New Roman" w:cs="Times New Roman" w:eastAsia="Times New Roman" w:hAnsi="Times New Roman"/>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26" w:lineRule="exact"/>
        <w:rPr>
          <w:sz w:val="20"/>
          <w:szCs w:val="20"/>
          <w:color w:val="auto"/>
        </w:rPr>
      </w:pPr>
    </w:p>
    <w:p>
      <w:pPr>
        <w:jc w:val="both"/>
        <w:ind w:firstLine="729"/>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w:t>
      </w:r>
    </w:p>
    <w:p>
      <w:pPr>
        <w:spacing w:after="0" w:line="30" w:lineRule="exact"/>
        <w:rPr>
          <w:sz w:val="20"/>
          <w:szCs w:val="20"/>
          <w:color w:val="auto"/>
        </w:rPr>
      </w:pPr>
    </w:p>
    <w:p>
      <w:pPr>
        <w:ind w:left="360" w:hanging="260"/>
        <w:spacing w:after="0"/>
        <w:tabs>
          <w:tab w:leader="none" w:pos="360" w:val="left"/>
        </w:tabs>
        <w:numPr>
          <w:ilvl w:val="0"/>
          <w:numId w:val="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day of </w:t>
      </w:r>
      <w:r>
        <w:rPr>
          <w:rFonts w:ascii="Times New Roman" w:cs="Times New Roman" w:eastAsia="Times New Roman" w:hAnsi="Times New Roman"/>
          <w:sz w:val="20"/>
          <w:szCs w:val="20"/>
          <w:u w:val="single" w:color="auto"/>
          <w:color w:val="auto"/>
        </w:rPr>
        <w:t>November</w:t>
      </w:r>
      <w:r>
        <w:rPr>
          <w:rFonts w:ascii="Times New Roman" w:cs="Times New Roman" w:eastAsia="Times New Roman" w:hAnsi="Times New Roman"/>
          <w:sz w:val="20"/>
          <w:szCs w:val="20"/>
          <w:color w:val="auto"/>
        </w:rPr>
        <w:t>, 2026.</w:t>
      </w:r>
    </w:p>
    <w:p>
      <w:pPr>
        <w:spacing w:after="0" w:line="200" w:lineRule="exact"/>
        <w:rPr>
          <w:sz w:val="20"/>
          <w:szCs w:val="20"/>
          <w:color w:val="auto"/>
        </w:rPr>
      </w:pPr>
    </w:p>
    <w:p>
      <w:pPr>
        <w:spacing w:after="0" w:line="33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color w:val="auto"/>
        </w:rPr>
        <w:t xml:space="preserve">Signature: </w:t>
      </w:r>
      <w:r>
        <w:rPr>
          <w:rFonts w:ascii="Times New Roman" w:cs="Times New Roman" w:eastAsia="Times New Roman" w:hAnsi="Times New Roman"/>
          <w:sz w:val="20"/>
          <w:szCs w:val="20"/>
          <w:u w:val="single" w:color="auto"/>
          <w:color w:val="auto"/>
        </w:rPr>
        <w:t>/s/ Michael Wartell</w:t>
      </w:r>
    </w:p>
    <w:p>
      <w:pPr>
        <w:spacing w:after="0" w:line="3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color w:val="auto"/>
        </w:rPr>
        <w:t>Print Name: Michael Wartell</w:t>
      </w:r>
    </w:p>
    <w:p>
      <w:pPr>
        <w:sectPr>
          <w:pgSz w:w="11900" w:h="16838" w:orient="portrait"/>
          <w:cols w:equalWidth="0" w:num="1">
            <w:col w:w="10940"/>
          </w:cols>
          <w:pgMar w:left="480" w:top="1440" w:right="47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SV\340998.1||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532130</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type w:val="continuous"/>
        </w:sectPr>
      </w:pPr>
    </w:p>
    <w:bookmarkStart w:id="2" w:name="page3"/>
    <w:bookmarkEnd w:id="2"/>
    <w:p>
      <w:pPr>
        <w:spacing w:after="0" w:line="352"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22"/>
          <w:szCs w:val="22"/>
          <w:b w:val="1"/>
          <w:bCs w:val="1"/>
          <w:u w:val="single" w:color="auto"/>
          <w:color w:val="auto"/>
        </w:rPr>
        <w:t>Schedule A</w:t>
      </w:r>
    </w:p>
    <w:p>
      <w:pPr>
        <w:spacing w:after="0" w:line="281" w:lineRule="exact"/>
        <w:rPr>
          <w:sz w:val="20"/>
          <w:szCs w:val="20"/>
          <w:color w:val="auto"/>
        </w:rPr>
      </w:pPr>
    </w:p>
    <w:p>
      <w:pPr>
        <w:jc w:val="right"/>
        <w:ind w:right="779"/>
        <w:spacing w:after="0"/>
        <w:rPr>
          <w:sz w:val="20"/>
          <w:szCs w:val="20"/>
          <w:color w:val="auto"/>
        </w:rPr>
      </w:pPr>
      <w:r>
        <w:rPr>
          <w:rFonts w:ascii="Times New Roman" w:cs="Times New Roman" w:eastAsia="Times New Roman" w:hAnsi="Times New Roman"/>
          <w:sz w:val="20"/>
          <w:szCs w:val="20"/>
          <w:color w:val="auto"/>
        </w:rPr>
        <w:t>Individuals Appointed as Attorney-in-Fact with Full Power of Substitution and Resubstitution</w:t>
      </w:r>
    </w:p>
    <w:p>
      <w:pPr>
        <w:spacing w:after="0" w:line="280" w:lineRule="exact"/>
        <w:rPr>
          <w:sz w:val="20"/>
          <w:szCs w:val="20"/>
          <w:color w:val="auto"/>
        </w:rPr>
      </w:pPr>
    </w:p>
    <w:p>
      <w:pPr>
        <w:ind w:left="720" w:hanging="355"/>
        <w:spacing w:after="0"/>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Harith Rajagopalan, M.D., Ph.D.</w:t>
      </w:r>
    </w:p>
    <w:p>
      <w:pPr>
        <w:spacing w:after="0" w:line="30" w:lineRule="exact"/>
        <w:rPr>
          <w:rFonts w:ascii="Times New Roman" w:cs="Times New Roman" w:eastAsia="Times New Roman" w:hAnsi="Times New Roman"/>
          <w:sz w:val="20"/>
          <w:szCs w:val="20"/>
          <w:color w:val="auto"/>
        </w:rPr>
      </w:pPr>
    </w:p>
    <w:p>
      <w:pPr>
        <w:ind w:left="720" w:hanging="355"/>
        <w:spacing w:after="0"/>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Lara Smith Weber</w:t>
      </w:r>
    </w:p>
    <w:p>
      <w:pPr>
        <w:spacing w:after="0" w:line="10" w:lineRule="exact"/>
        <w:rPr>
          <w:rFonts w:ascii="Times New Roman" w:cs="Times New Roman" w:eastAsia="Times New Roman" w:hAnsi="Times New Roman"/>
          <w:sz w:val="20"/>
          <w:szCs w:val="20"/>
          <w:color w:val="auto"/>
        </w:rPr>
      </w:pPr>
    </w:p>
    <w:p>
      <w:pPr>
        <w:ind w:left="720" w:hanging="355"/>
        <w:spacing w:after="0"/>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Sarah Toomey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525145</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9979"/>
      </w:cols>
      <w:pgMar w:left="48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lvl w:ilvl="1">
      <w:lvlJc w:val="left"/>
      <w:lvlText w:val="%2."/>
      <w:numFmt w:val="decimal"/>
      <w:start w:val="3"/>
    </w:lvl>
  </w:abstractNum>
  <w:abstractNum w:abstractNumId="4">
    <w:nsid w:val="507ED7AB"/>
    <w:multiLevelType w:val="hybridMultilevel"/>
    <w:lvl w:ilvl="0">
      <w:lvlJc w:val="left"/>
      <w:lvlText w:val="%1."/>
      <w:numFmt w:val="decimal"/>
      <w:start w:val="4"/>
    </w:lvl>
  </w:abstractNum>
  <w:abstractNum w:abstractNumId="5">
    <w:nsid w:val="2EB141F2"/>
    <w:multiLevelType w:val="hybridMultilevel"/>
    <w:lvl w:ilvl="0">
      <w:lvlJc w:val="left"/>
      <w:lvlText w:val="3"/>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016669" TargetMode="External"/><Relationship Id="rId11" Type="http://schemas.openxmlformats.org/officeDocument/2006/relationships/hyperlink" Target="http://www.sec.gov/cgi-bin/browse-edgar?action=getcompany&amp;CIK=00015726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2026-11-06T16:01:07Z</dcterms:created>
  <dcterms:modified xsi:type="dcterms:W3CDTF">2026-11-06T16:01:07Z</dcterms:modified>
</cp:coreProperties>
</file>