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guts-20260331.htm"/>
      <w:bookmarkStart w:id="1" w:name="ksguts20260331"/>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___________________ to ___________________</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222222"/>
          <w:sz w:val="20"/>
        </w:rPr>
        <w:t>001-</w:t>
      </w:r>
      <w:r>
        <w:rPr>
          <w:rFonts w:ascii="Times New Roman" w:hAnsi="Times New Roman"/>
          <w:b/>
          <w:color w:val="000000"/>
          <w:sz w:val="18"/>
        </w:rPr>
        <w:t>41942</w:t>
      </w:r>
    </w:p>
    <w:p>
      <w:pPr>
        <w:pStyle w:val="TextBody"/>
        <w:bidi w:val="0"/>
        <w:jc w:val="center"/>
        <w:rPr>
          <w:rFonts w:ascii="Times New Roman" w:hAnsi="Times New Roman"/>
          <w:b/>
          <w:color w:val="000000"/>
          <w:sz w:val="40"/>
        </w:rPr>
      </w:pPr>
      <w:r>
        <w:rPr>
          <w:rFonts w:ascii="Times New Roman" w:hAnsi="Times New Roman"/>
          <w:b/>
          <w:color w:val="000000"/>
          <w:sz w:val="40"/>
        </w:rPr>
        <w:t>Fractyl Health,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3872" w:type="dxa"/>
        <w:jc w:val="left"/>
        <w:tblInd w:w="0" w:type="dxa"/>
        <w:tblLayout w:type="fixed"/>
        <w:tblCellMar>
          <w:top w:w="28" w:type="dxa"/>
          <w:left w:w="28" w:type="dxa"/>
          <w:bottom w:w="28" w:type="dxa"/>
          <w:right w:w="28" w:type="dxa"/>
        </w:tblCellMar>
      </w:tblPr>
      <w:tblGrid>
        <w:gridCol w:w="2626"/>
        <w:gridCol w:w="1246"/>
      </w:tblGrid>
      <w:tr>
        <w:trPr/>
        <w:tc>
          <w:tcPr>
            <w:tcW w:w="26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27-3553477</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2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8"/>
              </w:rPr>
            </w:pPr>
            <w:r>
              <w:rPr>
                <w:rFonts w:ascii="Times New Roman" w:hAnsi="Times New Roman"/>
                <w:b/>
                <w:color w:val="000000"/>
                <w:sz w:val="18"/>
              </w:rPr>
              <w:t>3 Van de Graaff Drive, Suite 200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Burlington,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01803</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18"/>
        </w:rPr>
      </w:pPr>
      <w:r>
        <w:rPr>
          <w:rFonts w:ascii="Times New Roman" w:hAnsi="Times New Roman"/>
          <w:b/>
          <w:color w:val="000000"/>
          <w:sz w:val="18"/>
        </w:rPr>
        <w:t xml:space="preserve">(781) 902-8800 </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rFonts w:ascii="Times New Roman" w:hAnsi="Times New Roman"/>
          <w:b/>
          <w:color w:val="000000"/>
          <w:sz w:val="18"/>
        </w:rPr>
      </w:pPr>
      <w:r>
        <w:rPr>
          <w:rFonts w:ascii="Times New Roman" w:hAnsi="Times New Roman"/>
          <w:b/>
          <w:color w:val="000000"/>
          <w:sz w:val="18"/>
        </w:rPr>
        <w:t>N/A</w:t>
      </w:r>
    </w:p>
    <w:p>
      <w:pPr>
        <w:pStyle w:val="TextBody"/>
        <w:bidi w:val="0"/>
        <w:jc w:val="center"/>
        <w:rPr>
          <w:rFonts w:ascii="Times New Roman" w:hAnsi="Times New Roman"/>
          <w:b/>
          <w:color w:val="000000"/>
          <w:sz w:val="18"/>
        </w:rPr>
      </w:pPr>
      <w:r>
        <w:rPr>
          <w:rFonts w:ascii="Times New Roman" w:hAnsi="Times New Roman"/>
          <w:b/>
          <w:color w:val="000000"/>
          <w:sz w:val="18"/>
        </w:rPr>
        <w:t>(Former name, former address and former fiscal year, if changed since last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8418" w:type="dxa"/>
        <w:jc w:val="left"/>
        <w:tblInd w:w="0" w:type="dxa"/>
        <w:tblLayout w:type="fixed"/>
        <w:tblCellMar>
          <w:top w:w="28" w:type="dxa"/>
          <w:left w:w="28" w:type="dxa"/>
          <w:bottom w:w="28" w:type="dxa"/>
          <w:right w:w="28" w:type="dxa"/>
        </w:tblCellMar>
      </w:tblPr>
      <w:tblGrid>
        <w:gridCol w:w="3376"/>
        <w:gridCol w:w="1561"/>
        <w:gridCol w:w="3481"/>
      </w:tblGrid>
      <w:tr>
        <w:trPr/>
        <w:tc>
          <w:tcPr>
            <w:tcW w:w="337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37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37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$0.00001 par value per share</w:t>
            </w:r>
          </w:p>
        </w:tc>
        <w:tc>
          <w:tcPr>
            <w:tcW w:w="156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GUTS</w:t>
            </w:r>
          </w:p>
        </w:tc>
        <w:tc>
          <w:tcPr>
            <w:tcW w:w="34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68" w:type="dxa"/>
        <w:jc w:val="left"/>
        <w:tblInd w:w="0" w:type="dxa"/>
        <w:tblLayout w:type="fixed"/>
        <w:tblCellMar>
          <w:top w:w="28" w:type="dxa"/>
          <w:left w:w="28" w:type="dxa"/>
          <w:bottom w:w="28" w:type="dxa"/>
          <w:right w:w="28" w:type="dxa"/>
        </w:tblCellMar>
      </w:tblPr>
      <w:tblGrid>
        <w:gridCol w:w="2056"/>
        <w:gridCol w:w="316"/>
        <w:gridCol w:w="109"/>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As of May 1, 2026, the number of shares of the registrant’s common stock outstanding was approximately 158,648,963.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2" w:name="basis_presentation"/>
      <w:bookmarkEnd w:id="2"/>
      <w:r>
        <w:rPr>
          <w:rFonts w:ascii="Times New Roman" w:hAnsi="Times New Roman"/>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where the context otherwise requires or where otherwise indicated, the terms “Fractyl,” “Fractyl Health,” “we,” “us,” “our,” “our company,” “Company” and “our business” refer to Fractyl Health, Inc. and its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Fractyl Health, Inc. Our unaudited condensed consolidated financial statements have been prepared in accordance with generally accepted accounting principles in the United States (“U.S. GAAP”). Our fiscal year ends on December 31 of each year. Our most recent fiscal year ended on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unaudited condensed consolidated financial statements included elsewhere in this Quarterly Report on Form 10-Q. Certain other amounts that appear in this Quarterly Report on Form 10-Q may not sum due to rounding.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center"/>
        <w:rPr>
          <w:rFonts w:ascii="Times New Roman" w:hAnsi="Times New Roman"/>
          <w:color w:val="000000"/>
          <w:sz w:val="20"/>
        </w:rPr>
      </w:pPr>
      <w:bookmarkStart w:id="3" w:name="trademarks_tradenames"/>
      <w:bookmarkEnd w:id="3"/>
      <w:r>
        <w:rPr>
          <w:rFonts w:ascii="Times New Roman" w:hAnsi="Times New Roman"/>
          <w:color w:val="000000"/>
          <w:sz w:val="20"/>
        </w:rPr>
        <w:t>TRADEMARKS AND TRADENAMES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includes our trademarks and trade names, including, without limitation, REVITA, REJUVA and our logo, which are our property and are protected under applicable intellectual property laws. This Quarterly Report on Form 10-Q also contains trademarks, trade names and service marks of other companies, which are the property of their respective owners. Solely for convenience, trademarks, trade names and service marks referred to in this Quarterly Report on Form 10-Q may appear without the ®,  or SM symbols, but such references are not intended to indicate, in any way, that we or the applicable owner will not assert, to the fullest extent permitted under applicable law, our or its rights or the right of any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aps/>
          <w:color w:val="000000"/>
          <w:sz w:val="20"/>
        </w:rPr>
      </w:pPr>
      <w:bookmarkStart w:id="4" w:name="forward_looking_statements"/>
      <w:bookmarkEnd w:id="4"/>
      <w:r>
        <w:rPr>
          <w:rFonts w:ascii="Times New Roman" w:hAnsi="Times New Roman"/>
          <w:caps/>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that can involve substantial risks and uncertainties. All statements other than statements of historical facts contained in this Quarterly Report on Form 10-Q, including statements regarding our future results of operations and financial position, business strategy (including our Strategic Reprioritization, as defined herein), prospective products or product candidates, plans regarding or status of clinical trials or studies and their design, our plans for readouts of interim or final results, product approvals, communications with or submissions to the U.S. Food and Drug Administration (the “FDA”), research and development costs, future revenue, timing and likelihood of success, plans and objectives of management for future operations, future results of anticipated products and prospects, plans and objectives of management, the anticipated use of or impact of the net proceeds from offerings of our securities, and the timing of any of the foregoing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“anticipate,” “believe,” “contemplate,” “continue,” “could,” “estimate,” “expect,” “intend,” “may,” “plan,” “potential,” “predict,” “project,” “should,” “target,” “will,” or “would” or the negative of these terms or other similar expressions, although not all forward-looking statements contain these words. Forward-looking statements contained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and results of preclinical and clinical studies for our current and future product candidates, including statements regarding the timing of initiation and completion of studies and related preparatory work, the period during which the results of the studies will become available and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scope or likelihood of regulatory submissions, filings, clearances, certifications and approvals, including final regulatory authorizations, approval certifications or clearance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and advance product candidates into, and successfully complete,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size of the patient populations for our product candidates, if authorized, approved, certified or cleared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business model and our strategic plans for our business,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strategy, as well as our product development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authorized, approved or cleared;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scalability and commercial viability of our manufacturing methods and processes, including our plans to maintain our in-house manufacturing facility, even after commercialization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or maintain collaborations or strategic relationships or obtain additional funding;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and/or any future licensors are able to establish and maintain for intellectual property rights covering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status, breadth and strength of our intellectual property portfolio and its ability to protect our innovations;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patent coverage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defend litigation and other similar complaints and to establish and maintain intellectual property rights covering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related to the use of proceeds from our 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over which we estimate our existing cash and cash equivalents will be sufficient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time during which we will be an emerging growth company and smaller reporting company under the Jumpstart Our Business Act of 2012 (“JOBS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adverse macroeconomic conditions, geopolitical events, and potential future public health crises, including epidemics and pandemics;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other forward looking statements, risks and uncertainties, including those listed in </w:t>
      </w:r>
      <w:r>
        <w:rPr>
          <w:rFonts w:ascii="Times New Roman" w:hAnsi="Times New Roman"/>
          <w:i/>
          <w:color w:val="000000"/>
          <w:sz w:val="20"/>
        </w:rPr>
        <w:t xml:space="preserve">Part I, Item 1A, “Risk Factors” </w:t>
      </w:r>
      <w:r>
        <w:rPr>
          <w:rFonts w:ascii="Times New Roman" w:hAnsi="Times New Roman"/>
          <w:color w:val="000000"/>
          <w:sz w:val="20"/>
        </w:rPr>
        <w:t>of our Annual Report on Form 10-K for the fiscal year ended December 31, 2025, filed with the Securities and Exchange Commission (the “SEC”) on March 24, 2026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Risk Factors in our Annual Report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1"/>
        <w:bidi w:val="0"/>
        <w:spacing w:before="0" w:after="240"/>
        <w:jc w:val="center"/>
        <w:rPr>
          <w:rFonts w:ascii="Times New Roman" w:hAnsi="Times New Roman"/>
          <w:caps/>
          <w:color w:val="000000"/>
          <w:sz w:val="20"/>
        </w:rPr>
      </w:pPr>
      <w:r>
        <w:rPr>
          <w:rFonts w:ascii="Times New Roman" w:hAnsi="Times New Roman"/>
          <w:caps/>
          <w:color w:val="000000"/>
          <w:sz w:val="20"/>
        </w:rPr>
        <w:t>Table of Contents</w:t>
      </w:r>
    </w:p>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5"/>
        <w:gridCol w:w="8848"/>
        <w:gridCol w:w="572"/>
      </w:tblGrid>
      <w:tr>
        <w:trPr/>
        <w:tc>
          <w:tcPr>
            <w:tcW w:w="785" w:type="dxa"/>
            <w:tcBorders/>
            <w:vAlign w:val="center"/>
          </w:tcPr>
          <w:p>
            <w:pPr>
              <w:pStyle w:val="TableContents"/>
              <w:bidi w:val="0"/>
              <w:spacing w:before="0" w:after="283"/>
              <w:jc w:val="left"/>
              <w:rPr>
                <w:sz w:val="4"/>
                <w:szCs w:val="4"/>
              </w:rPr>
            </w:pPr>
            <w:r>
              <w:rPr>
                <w:sz w:val="4"/>
                <w:szCs w:val="4"/>
              </w:rPr>
            </w:r>
          </w:p>
        </w:tc>
        <w:tc>
          <w:tcPr>
            <w:tcW w:w="884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b/>
                  <w:color w:val="0000FF"/>
                  <w:sz w:val="20"/>
                  <w:u w:val="single"/>
                </w:rPr>
                <w:t>FINANCIAL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848"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fs_bs">
              <w:r>
                <w:rPr>
                  <w:rStyle w:val="InternetLink"/>
                  <w:rFonts w:ascii="Times New Roman" w:hAnsi="Times New Roman"/>
                  <w:color w:val="0000FF"/>
                  <w:sz w:val="20"/>
                  <w:u w:val="single"/>
                </w:rPr>
                <w:t>Condensed Consolidated Balance Sheets as of March 31, 2026 and December 31, 2025</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848"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consolidated_stmnts_ops_and_comploss">
              <w:r>
                <w:rPr>
                  <w:rStyle w:val="InternetLink"/>
                  <w:rFonts w:ascii="Times New Roman" w:hAnsi="Times New Roman"/>
                  <w:color w:val="0000FF"/>
                  <w:sz w:val="20"/>
                  <w:u w:val="single"/>
                </w:rPr>
                <w:t>Condensed Consolidated Statements of Operations and Comprehensive Income (Loss) for the three months ended March 31, 2026 and 2025</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848"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consol_stmnt_cnvt_prfstck_stckhld_def">
              <w:r>
                <w:rPr>
                  <w:rStyle w:val="InternetLink"/>
                  <w:rFonts w:ascii="Times New Roman" w:hAnsi="Times New Roman"/>
                  <w:color w:val="0000FF"/>
                  <w:sz w:val="20"/>
                  <w:u w:val="single"/>
                </w:rPr>
                <w:t>Condensed Consolidated Statements of Stockholders’ Equity for the three months ended March 31, 2026 and 2025</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848"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consolidated_stmnts_cash_flows">
              <w:r>
                <w:rPr>
                  <w:rStyle w:val="InternetLink"/>
                  <w:rFonts w:ascii="Times New Roman" w:hAnsi="Times New Roman"/>
                  <w:color w:val="0000FF"/>
                  <w:sz w:val="20"/>
                  <w:u w:val="single"/>
                </w:rPr>
                <w:t>Condensed Consolidated Statements of Cash Flows for the three months ended March 31, 2026 and 2025</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848"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notes_consolidated_financial_statements">
              <w:r>
                <w:rPr>
                  <w:rStyle w:val="InternetLink"/>
                  <w:rFonts w:ascii="Times New Roman" w:hAnsi="Times New Roman"/>
                  <w:color w:val="0000FF"/>
                  <w:sz w:val="20"/>
                  <w:u w:val="single"/>
                </w:rPr>
                <w:t>Notes to Condensed Consolidated Financial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_discussion_analysi">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qualitative">
              <w:r>
                <w:rPr>
                  <w:rStyle w:val="InternetLink"/>
                  <w:rFonts w:ascii="Times New Roman" w:hAnsi="Times New Roman"/>
                  <w:color w:val="0000FF"/>
                  <w:sz w:val="20"/>
                  <w:u w:val="single"/>
                </w:rPr>
                <w:t>Quantitative and Qualitative Disclosures About Market Risk</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procedures">
              <w:r>
                <w:rPr>
                  <w:rStyle w:val="InternetLink"/>
                  <w:rFonts w:ascii="Times New Roman" w:hAnsi="Times New Roman"/>
                  <w:color w:val="0000FF"/>
                  <w:sz w:val="20"/>
                  <w:u w:val="single"/>
                </w:rPr>
                <w:t>Controls and Procedures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b/>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equity_securities">
              <w:r>
                <w:rPr>
                  <w:rStyle w:val="InternetLink"/>
                  <w:rFonts w:ascii="Times New Roman" w:hAnsi="Times New Roman"/>
                  <w:color w:val="0000FF"/>
                  <w:sz w:val="20"/>
                  <w:u w:val="single"/>
                </w:rPr>
                <w:t>Unregistered Sales of Equity Securities and Use of Proceeds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s_upon_senior">
              <w:r>
                <w:rPr>
                  <w:rStyle w:val="InternetLink"/>
                  <w:rFonts w:ascii="Times New Roman" w:hAnsi="Times New Roman"/>
                  <w:color w:val="0000FF"/>
                  <w:sz w:val="20"/>
                  <w:u w:val="single"/>
                </w:rPr>
                <w:t>Defaults Upon Senior Securities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
              <w:r>
                <w:rPr>
                  <w:rStyle w:val="InternetLink"/>
                  <w:rFonts w:ascii="Times New Roman" w:hAnsi="Times New Roman"/>
                  <w:color w:val="0000FF"/>
                  <w:sz w:val="20"/>
                  <w:u w:val="single"/>
                </w:rPr>
                <w:t>Exhibits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aps/>
          <w:color w:val="000000"/>
          <w:sz w:val="20"/>
        </w:rPr>
      </w:pPr>
      <w:bookmarkStart w:id="5" w:name="financial_information"/>
      <w:bookmarkEnd w:id="5"/>
      <w:r>
        <w:rPr>
          <w:rFonts w:ascii="Times New Roman" w:hAnsi="Times New Roman"/>
          <w:caps/>
          <w:color w:val="000000"/>
          <w:sz w:val="20"/>
        </w:rPr>
        <w:t>PART I—FINANCIAL INFORMATION</w:t>
      </w:r>
    </w:p>
    <w:p>
      <w:pPr>
        <w:pStyle w:val="Heading2"/>
        <w:bidi w:val="0"/>
        <w:spacing w:before="360" w:after="283"/>
        <w:jc w:val="left"/>
        <w:rPr>
          <w:rFonts w:ascii="Times New Roman" w:hAnsi="Times New Roman"/>
          <w:color w:val="000000"/>
          <w:sz w:val="20"/>
        </w:rPr>
      </w:pPr>
      <w:bookmarkStart w:id="6" w:name="financial_statements"/>
      <w:bookmarkEnd w:id="6"/>
      <w:r>
        <w:rPr>
          <w:rFonts w:ascii="Times New Roman" w:hAnsi="Times New Roman"/>
          <w:color w:val="000000"/>
          <w:sz w:val="20"/>
        </w:rPr>
        <w:t>Item 1.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fs_bs"/>
      <w:bookmarkEnd w:id="7"/>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for share and per share information)</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4"/>
        <w:gridCol w:w="211"/>
        <w:gridCol w:w="841"/>
        <w:gridCol w:w="166"/>
        <w:gridCol w:w="146"/>
        <w:gridCol w:w="213"/>
        <w:gridCol w:w="851"/>
        <w:gridCol w:w="613"/>
      </w:tblGrid>
      <w:tr>
        <w:trPr/>
        <w:tc>
          <w:tcPr>
            <w:tcW w:w="7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87,576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long-term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lease assets, operating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long-term</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long-term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 long-term</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111,944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$0.00001 par value; 10,000,000 shares authorized at March 31, 2026 and December 31, 2025; no shares issued and outstanding at March 31, 2026 and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$0.00001 par value; 300,000,000 shares authorized as of March 31, 2026 and December 31, 2025; 158,648,963 and 153,372,044 shares issued and outstanding at March 31,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565,721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(556,264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 (unaudited).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mnts_ops_and_comploss"/>
      <w:bookmarkEnd w:id="8"/>
      <w:r>
        <w:rPr>
          <w:rFonts w:ascii="Times New Roman" w:hAnsi="Times New Roman"/>
          <w:b/>
          <w:color w:val="000000"/>
          <w:sz w:val="20"/>
        </w:rPr>
        <w:t>Condensed Consolidated Statements of Operations and Comprehensive Income (Loss)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for share and per share information)</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tbl>
      <w:tblPr>
        <w:tblW w:w="9939" w:type="dxa"/>
        <w:jc w:val="left"/>
        <w:tblInd w:w="0" w:type="dxa"/>
        <w:tblLayout w:type="fixed"/>
        <w:tblCellMar>
          <w:top w:w="28" w:type="dxa"/>
          <w:left w:w="28" w:type="dxa"/>
          <w:bottom w:w="28" w:type="dxa"/>
          <w:right w:w="28" w:type="dxa"/>
        </w:tblCellMar>
      </w:tblPr>
      <w:tblGrid>
        <w:gridCol w:w="6271"/>
        <w:gridCol w:w="146"/>
        <w:gridCol w:w="211"/>
        <w:gridCol w:w="1141"/>
        <w:gridCol w:w="166"/>
        <w:gridCol w:w="146"/>
        <w:gridCol w:w="211"/>
        <w:gridCol w:w="1036"/>
        <w:gridCol w:w="61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and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158,492,158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48,865,468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 (unaudited).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9" w:name="consol_stmnt_cnvt_prfstck_stckhld_def"/>
      <w:bookmarkEnd w:id="9"/>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for share information)</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87"/>
        <w:gridCol w:w="146"/>
        <w:gridCol w:w="146"/>
        <w:gridCol w:w="1141"/>
        <w:gridCol w:w="146"/>
        <w:gridCol w:w="146"/>
        <w:gridCol w:w="261"/>
        <w:gridCol w:w="430"/>
        <w:gridCol w:w="146"/>
        <w:gridCol w:w="146"/>
        <w:gridCol w:w="211"/>
        <w:gridCol w:w="781"/>
        <w:gridCol w:w="146"/>
        <w:gridCol w:w="146"/>
        <w:gridCol w:w="211"/>
        <w:gridCol w:w="841"/>
        <w:gridCol w:w="166"/>
        <w:gridCol w:w="146"/>
        <w:gridCol w:w="254"/>
        <w:gridCol w:w="816"/>
        <w:gridCol w:w="192"/>
      </w:tblGrid>
      <w:tr>
        <w:trPr/>
        <w:tc>
          <w:tcPr>
            <w:tcW w:w="3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153,372,044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158,648,963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558" w:type="dxa"/>
        <w:jc w:val="left"/>
        <w:tblInd w:w="0" w:type="dxa"/>
        <w:tblLayout w:type="fixed"/>
        <w:tblCellMar>
          <w:top w:w="28" w:type="dxa"/>
          <w:left w:w="28" w:type="dxa"/>
          <w:bottom w:w="28" w:type="dxa"/>
          <w:right w:w="28" w:type="dxa"/>
        </w:tblCellMar>
      </w:tblPr>
      <w:tblGrid>
        <w:gridCol w:w="3001"/>
        <w:gridCol w:w="146"/>
        <w:gridCol w:w="146"/>
        <w:gridCol w:w="1036"/>
        <w:gridCol w:w="146"/>
        <w:gridCol w:w="146"/>
        <w:gridCol w:w="261"/>
        <w:gridCol w:w="430"/>
        <w:gridCol w:w="146"/>
        <w:gridCol w:w="146"/>
        <w:gridCol w:w="211"/>
        <w:gridCol w:w="781"/>
        <w:gridCol w:w="146"/>
        <w:gridCol w:w="146"/>
        <w:gridCol w:w="211"/>
        <w:gridCol w:w="841"/>
        <w:gridCol w:w="166"/>
        <w:gridCol w:w="146"/>
        <w:gridCol w:w="243"/>
        <w:gridCol w:w="852"/>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48,755,451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48,920,221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 (unaudited).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consolidated_stmnts_cash_flows"/>
      <w:bookmarkEnd w:id="10"/>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9231" w:type="dxa"/>
        <w:jc w:val="left"/>
        <w:tblInd w:w="0" w:type="dxa"/>
        <w:tblLayout w:type="fixed"/>
        <w:tblCellMar>
          <w:top w:w="28" w:type="dxa"/>
          <w:left w:w="28" w:type="dxa"/>
          <w:bottom w:w="28" w:type="dxa"/>
          <w:right w:w="28" w:type="dxa"/>
        </w:tblCellMar>
      </w:tblPr>
      <w:tblGrid>
        <w:gridCol w:w="5896"/>
        <w:gridCol w:w="146"/>
        <w:gridCol w:w="249"/>
        <w:gridCol w:w="842"/>
        <w:gridCol w:w="211"/>
        <w:gridCol w:w="185"/>
        <w:gridCol w:w="249"/>
        <w:gridCol w:w="842"/>
        <w:gridCol w:w="611"/>
      </w:tblGrid>
      <w:tr>
        <w:trPr/>
        <w:tc>
          <w:tcPr>
            <w:tcW w:w="5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notes payable, non-cash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long-term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payments on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(25,356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46,363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for operating leases within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offering costs included in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 (unaudited).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1" w:name="notes_consolidated_financial_statements"/>
      <w:bookmarkEnd w:id="11"/>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the Business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Fractyl Health, Inc. (the “Company” or “Fractyl”) was incorporated in Delaware on August 30, 2010 under the name MedCatalyst, Inc. The Company then changed its name to Fractyl Laboratories Inc. on January 10, 2012 and subsequently to Fractyl Health, Inc. on June 9, 2021. The Company is a clinical stage metabolic therapeutics company focused on pioneering novel approaches to treat obesity and type 2 diabetes (“T2D”). The Revita</w:t>
      </w:r>
      <w:r>
        <w:rPr>
          <w:rFonts w:ascii="Times New Roman" w:hAnsi="Times New Roman"/>
          <w:color w:val="000000"/>
          <w:sz w:val="13"/>
        </w:rPr>
        <w:t>®</w:t>
      </w:r>
      <w:r>
        <w:rPr>
          <w:rFonts w:ascii="Times New Roman" w:hAnsi="Times New Roman"/>
          <w:color w:val="000000"/>
          <w:sz w:val="20"/>
        </w:rPr>
        <w:t xml:space="preserve"> and Rejuva</w:t>
      </w:r>
      <w:r>
        <w:rPr>
          <w:rFonts w:ascii="Times New Roman" w:hAnsi="Times New Roman"/>
          <w:color w:val="000000"/>
          <w:sz w:val="13"/>
        </w:rPr>
        <w:t>®</w:t>
      </w:r>
      <w:r>
        <w:rPr>
          <w:rFonts w:ascii="Times New Roman" w:hAnsi="Times New Roman"/>
          <w:color w:val="000000"/>
          <w:sz w:val="20"/>
        </w:rPr>
        <w:t xml:space="preserve"> candidates are designed to target root causes of metabolic diseases, allowing us to advance metabolic disease treatment from chronic management towards prevention and reversion of the disease.</w:t>
      </w:r>
    </w:p>
    <w:p>
      <w:pPr>
        <w:pStyle w:val="TextBody"/>
        <w:bidi w:val="0"/>
        <w:jc w:val="left"/>
        <w:rPr>
          <w:rFonts w:ascii="Times New Roman" w:hAnsi="Times New Roman"/>
          <w:b/>
          <w:i/>
          <w:color w:val="000000"/>
          <w:sz w:val="20"/>
        </w:rPr>
      </w:pPr>
      <w:r>
        <w:rPr>
          <w:rFonts w:ascii="Times New Roman" w:hAnsi="Times New Roman"/>
          <w:b/>
          <w:i/>
          <w:color w:val="000000"/>
          <w:sz w:val="20"/>
        </w:rPr>
        <w:t>Revita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Revita DMR System (“Revita”) is based on the Company’s insights surrounding the potential role of the gut in obesity. Revita is designed to remodel the duodenal lining via hydrothermal ablation (i.e. duodenal mucosal resurfacing) to reverse damage to intestinal nutrient sensing and signaling mechanisms caused by chronic high-fat and high-sugar diets that are a root cause of metabolic disease. In the U.S., Revita is for investigational use only. Revita has U.S. FDA Breakthrough Device designation in weight maintenance for people with obesity who discontinue glucagon-like peptide-1 (“GLP-1”) based drugs. The Company has received favorable FDA feedback on its De Novo classification request for Revita and anticipates submitting a potential De Novo marketing application in the late fourth quarter of 2026. The Company is evaluating Revita in the REMAIN-1 weight maintenance program, which is designed to evaluate Revita’s potential to maintain weight loss following GLP-1 based therapy discontinuation. The REMAIN-1 program includes three distinct patient cohorts that are conducted under a single IDE: the REVEAL-1 Cohort, the REMAIN-1 Midpoint Cohort, and the REMAIN-1 Pivotal Cohort, designed to collectively establish the clinical and regulatory foundation for Revita in weight maintenance.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REVEAL-1 Cohort (n=22) is an open-label study in individuals with obesity who have lost at least 15% of their total body weight on a GLP-1 medication and who either need or choose to discontinue GLP-1 based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REMAIN-1 Midpoint Cohort (n=45) is a randomized, double-blind, sham-controlled pilot study to assess the potential of Revita to maintain weight loss after GLP-1 based therapy discontinuation.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REMAIN-1 Pivotal Cohort (n=315) is a randomized, double-blind, sham-controlled pivotal study to evaluate the safety and efficacy of Revita in maintaining weight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REMAIN-1 study was initiated in the third quarter of 2024. The Company completed enrollment of the REMAIN-1 Pivotal Cohort in July 2025, a randomized, double-blind, sham-controlled pivotal study evaluating the safety and efficacy of Revita in maintaining weight loss after GLP-1 based therapy discontinuation. The Company completed randomization of the pivotal cohort in February 2026, with topline six-month data anticipated in the early fourth quarter of 2026. The Company anticipates submitting a potential De Novo marketing application in post-GLP-1 weight maintenance in the late fourth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Company’s Strategic Reprioritization in January 2025, Fractyl has paused additional investment in the REVITALIZE-1 clinical study of Revita for T2D and the Germany Real-World Registry study. The Company continues to follow existing participants in both studies per protocol and will report clinical, health economic, and patient-relevant outcomes from the Germany Real-World Registry study on an ongoing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Rejuva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also developing Rejuva, a novel, locally administered, adeno-associated virus delivered pancreatic gene therapy platform. Rejuva is designed to enable long-term remission of T2D and obesity by durably reprogramming pancreatic islet cells to endogenously produce metabolic hormones. Rejuva leverages advanced delivery systems and proprietary screening methods to identify and develop metabolically active gene therapy candidates targeting the pancreas. The lead candidate from the Rejuva platform, RJVA-001 is designed to be delivered to the pancreas via a single endoscopic intervention to enable pancreatic beta cells to express GLP-1 locally via nutrient-responsive control. This gene therapy approach enables physiologic GLP-1 secretion without the high circulating levels that contribute to side effects seen with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systemic GLP-based drugs. The Company completed key preclinical </w:t>
      </w:r>
      <w:r>
        <w:rPr>
          <w:rFonts w:ascii="Times New Roman" w:hAnsi="Times New Roman"/>
          <w:i/>
          <w:color w:val="000000"/>
          <w:sz w:val="20"/>
        </w:rPr>
        <w:t xml:space="preserve">in vivo </w:t>
      </w:r>
      <w:r>
        <w:rPr>
          <w:rFonts w:ascii="Times New Roman" w:hAnsi="Times New Roman"/>
          <w:color w:val="000000"/>
          <w:sz w:val="20"/>
        </w:rPr>
        <w:t>studies to support a CTA for RJVA-001 and subsequently submitted CTAs for RJVA-001 in T2D to regulators in the EU (Netherlands) and Australia in the second half of 2025, advancing the program toward its anticipated first-in-human study. In April 2026, the Company received CTA authorization in the Netherlands for RJVA-001, enabling initiation of the anticipated Phase 1/2 first-in-human study evaluating RJVA-001 in adults with inadequately controlled T2D. Subject to site activation, the Company expects to dose the first patient with RJVA-001 and report preliminary data in the second half of 2026. The Company also plans to conduct the study at sites in Australia, where a CTA has been submitted and regulatory feedback is expected in the third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also developing RJVA-002, a dual GIP/GLP-1 gene therapy and is currently in preclinical development. RJVA-002 expands the Rejuva platform into obesity, targeting dual incretin biology with the goal of achieving durable, well-tolerated, weight loss from a single intervention.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Revita and Rejuva, if approved by relevant regulatory bodies, have the potential to revolutionize treatment across the spectrum of obesity and T2D, align the clinical and economic interest of key stakeholders around the long-term regression of metabolic disease, and, at their fullest potential, significantly reduce the burden of metabolic disease globally.</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Change in Chief Financial Officer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January 6, 2026, the Company announced that Lara Smith Weber was appointed Chief Financial Officer, effective January 12, 2026, succeeding Lisa Davidson, who resigned effective December 31,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connection with Ms. Smith Weber’s appointment, the Company’s board of directors approved an inducement equity award outside of the Company’s 2024 Incentive Award Plan under Nasdaq Listing Rule 5635(c)(4). The shares underlying this award were registered for issuance on Form S-8 filed with the SEC on January 13, 2026.</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Nasdaq Minimum Bid Price Notice</w:t>
      </w:r>
    </w:p>
    <w:p>
      <w:pPr>
        <w:pStyle w:val="TextBody"/>
        <w:bidi w:val="0"/>
        <w:jc w:val="left"/>
        <w:rPr>
          <w:rFonts w:ascii="Times New Roman" w:hAnsi="Times New Roman"/>
          <w:color w:val="000000"/>
          <w:sz w:val="20"/>
        </w:rPr>
      </w:pPr>
      <w:r>
        <w:rPr>
          <w:rFonts w:ascii="Times New Roman" w:hAnsi="Times New Roman"/>
          <w:color w:val="000000"/>
          <w:sz w:val="20"/>
        </w:rPr>
        <w:t>On March 13, 2026, the Company received a letter from Nasdaq Stock Market LLC (“Nasdaq”) notifying the Company that it was not in compliance with the minimum bid price requirement of Nasdaq Listing Rule 5450(a)(1) because the closing bid price of the Company’s common stock had been below $1.00 per share for 30 consecutive business days. The Company has 180 calendar days, or until September 9, 2026, to regain compliance with the minimum bid price requirement. The notice has no immediate effect on the listing or trading of the Company’s common stock on the Nasdaq Global Market.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ASC 205-40, </w:t>
      </w:r>
      <w:r>
        <w:rPr>
          <w:rFonts w:ascii="Times New Roman" w:hAnsi="Times New Roman"/>
          <w:i/>
          <w:color w:val="000000"/>
          <w:sz w:val="20"/>
        </w:rPr>
        <w:t>Going Concern</w:t>
      </w:r>
      <w:r>
        <w:rPr>
          <w:rFonts w:ascii="Times New Roman" w:hAnsi="Times New Roman"/>
          <w:color w:val="000000"/>
          <w:sz w:val="20"/>
        </w:rPr>
        <w:t>,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by the Company’s board of directors before the date that the financial statements are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discovery and development of its product candidates, raising additional capital with favorable terms, development by its competitors of new technological innovations, protection of proprietary technology and market acceptance of the Company’s products. The successful discovery and development of product candidates requires substantial working capital which may not be available to the Company on favorable terms or not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financed its operations to date primarily through its equity and debt financings. The Company has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history of operating losses and had an accumulated deficit of $547.0 million as of March 31, 2026, and management expects continuing operating losses in the future. As of March 31, 2026, the Company had available cash and cash equivalents of $63.2 million. Management believes its existing cash and cash equivalents will be sufficient to fund its operating expenses and capital expenditure requirements into early 2027, through multiple key clinical and regulatory milestones. However, these existing cash resources will not be sufficient to fund the Company’s current operating plan for at least twelve months from the issuance date of this Quarterly Report on Form 10-Q.</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 expects to seek additional funds through equity or debt financings or through collaboration or licensing transactions or other sources. The Company may be unable to obtain equity or debt financings or enter into collaboration or licensing transactions and, if necessary, the Company will be required to implement cost reduction strategies which could curtail or delay its current operating plan. As a result, substantial doubt exists about the Company’s ability to continue as a going concern within twelve months from the issuance date of this Quarterly Report on Form 10-Q. 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before="8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have been prepared by the Company in accordance with U.S. GAAP for interim financial reporting and as required by Regulation S-X, Rule 10-01. The unaudited interim condensed consolidated financial statements include the accounts of the Company and its wholly owned subsidiaries. All intercompany balances and transactions have been eliminated. These interim financial statements, in the opinion of management, reflect all adjustments, which include only normal recurring adjustments, necessary for a fair presentation of the Company’s financial position and results of operations for the three months ended March 31, 2026 and 2025. The results of operations for the interim periods are not necessarily indicative of results to be expected for the year ending December 31, 2026, any other interim periods, or any future year or period. Certain information and footnote disclosures normally included in financial statements prepared in accordance with U.S. GAAP have been condensed or omitted from this report, as is permitted by such rules and regulations. Accordingly, these unaudited interim condensed consolidated financial statements should be read in conjunction with the audited consolidated financial statements as of and for the year ended December 31, 2025 and notes thereto, included in the Company’s Annual Report. The accompanying unaudited interim condensed consolidated financial statements have been prepared on the same basis as the audited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relied upon in preparing these condensed consolidated financial statements include, but are not limited to, the fair value of common stock warrants, the fair value of notes payable, the fair value of stock-based awards, the incremental borrowing rate for lease accounting, estimates of future cash flows used in the assessment of the Company’s ability to continue as a going concern, and the accrual of research and development expenses. Estimates are periodically reviewed in light of changes in circumstances, facts and experience. Actual results could differ materially from those estimates.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has entered into operating leases for office and laboratory spaces and finance leases for certain laboratory equipment, which are accounted for in accordance with ASC 842, </w:t>
      </w:r>
      <w:r>
        <w:rPr>
          <w:rFonts w:ascii="Times New Roman" w:hAnsi="Times New Roman"/>
          <w:i/>
          <w:color w:val="000000"/>
          <w:sz w:val="20"/>
        </w:rPr>
        <w:t xml:space="preserve">Leases, </w:t>
      </w:r>
      <w:r>
        <w:rPr>
          <w:rFonts w:ascii="Times New Roman" w:hAnsi="Times New Roman"/>
          <w:color w:val="000000"/>
          <w:sz w:val="20"/>
        </w:rPr>
        <w:t xml:space="preserve">(“ASC 842”).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determines whether an arrangement is or contains a lease based on the unique facts and circumstances present in the arrangement at inception. Operating leases are included in right-of-use lease assets (“ROU assets”) and current and long-term lease liabilities on the Company’s condensed consolidated balance sheets. Lease expenses for operating leases are recognized on a straight-line basis over the lease term as an operating expense. Assets subject to finance leases are included in property and equipment, net, on the Company’s condensed consolidated balance sheets.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and long-term portion of the related lease liabilities of the finance leases are included in accrued expenses and other current liabilities and other long-term liabilities, respectively, on the Company’s condensed consolidated balance sheets. Lease expenses for finance leases consist of depreciation of the assets, which is recognized on a straight-line basis over the useful life of the assets as an operating expense, and interest expense using the effective interest method over the lease term.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warrants to purchase shares of its common stock as liabilities on its consolidated balance sheets as such warrants may result in delivery of a variable number of shares or delivery of a settlement amount that is not solely indexed to the Company’s own stock. These warrants were initially recorded at fair value on the grant date, and are subsequently remeasured to fair value at the end of each reporting period with changes in fair value recognized as a component of other income (expense) in the condensed consolidated statements of operations and comprehensive income (loss). The Company will continue to adjust the liabilities until the earlier of exercise or expiration of the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these warrant liabilities are determined using a Black-Scholes option-pricing model. The valuation model used incorporates assumptions and estimates, which the Company assesses at each financial reporting period as additional information impacting the assumptions is obtained. Estimates and assumptions impacting the fair value measurement include the fair value per share of the underlying shares, the remaining contractual term of the warrants, risk-free interest rate, expected dividend yield and expected volatility of the price of the underlying shares. The fair value of the underlying shares represents the closing price of its common stock traded on the Nasdaq Global Market. The expected volatility assumption is based on a blend of historical volatilities of the Company’s share price and those of its publicly traded peer companies. The risk-free interest rate is determined by reference to the U.S. Treasury yield curve for time periods approximately equal to the remaining contractual term of the warrant. The expected dividend yield for the common stock warrants is 0% based on the fact that the Company has never paid cash dividends on common stock and does not expect to pay any cash dividends on common stock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fair value measurement of the warrant liabilities is based on significant inputs that are not observable in the market and represent a Level 3 measurement. See Note 6—“Warrant Liabilities”.</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measures all stock options and other stock-based awards based on their fair value on the date of the grant. Those awards typically have a graded vesting schedule and compensation expense for awards with only service conditions is recognized on a straight-line basis over the requisite service period, which is generally the vesting period of the respective award. Compensation costs recognized for performance-based awards reflect the number of awards that are expected to vest during the requisite service period and are recognized using an accelerated attribution method. Upon final determination of the performance conditions achieved, the compensation costs are adjusted to reflect those awards that ultimately vest. Historical performance patterns, to the extent that they are indicative to the performance conditions to be achieved, are used in developing estimates for the probability of attaining these performance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classifies stock-based compensation expense in its condensed consolidated statements of operations and comprehensive income (loss) in the same manner in which the award recipient’s payroll costs are classified or in which the award recipient’s service payments are classified.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Black-Scholes option pricing model, which incorporates assumptions and estimates, to measure the fair value of its option awards on the date of grant of each stock option award. The Company considers the fair value of its common stock to be equal to the closing price of its common stock traded on the Nasdaq Global Market. The expected volatility assumption is based on a blend of historical volatilities of the Company’s share price and those of its publicly traded peer companies. The expected term assumption for employee grants is determined by using the “simplified” method for awards that qualify as “plain-vanilla” options. The risk-free interest rate is based on the rate of the U.S. Treasury yield curve in effect at the time of grant of the award for time periods approximately equal to the expected term of the award. Expected dividend yield is 0% based on the fact that the Company has never paid cash dividends on common stock and does not expect to pay any cash dividends in the foreseeable future. Forfeitures are accounted for as they occur.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 - Goodwill and Other- Internal-Use Software (Subtopic 350-40): Targeted Improvements to the Accounting for Internal-Use Software</w:t>
      </w:r>
      <w:r>
        <w:rPr>
          <w:rFonts w:ascii="Times New Roman" w:hAnsi="Times New Roman"/>
          <w:color w:val="000000"/>
          <w:sz w:val="20"/>
        </w:rPr>
        <w:t xml:space="preserve"> (“ASU 2025-06”). The ASU simplifies the guidance around capitalization of software development costs. ASU 2025-06 is effective for annual periods beginning after December 31, 2027, with early adoption permitted. The Company elected to early adopt ASU 2025-06 effective January 1, 2026. The adoption had no material impact on the Company’s condensed consolidated financial statements and related disclosures.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No. 2024-03, Disaggregation of Income Statement Expenses (“ASU 2024-03”), which is intended to provide more detailed and disaggregated information about significant expense categories, such as purchases of inventory, employee compensation, depreciation and amortization, and selling expenses. This new standard, including related updates, is effective for fiscal years beginning after December 15, 2026, and interim periods within fiscal years beginning after December 15, 2027. Early adoption is permitted, and the amendments may be applied either prospectively or retrospectively. The Company is currently assessing the impact ASU 2024-03 will have on its condensed consolidated financial statements, including its footnote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information about the Company’s financial assets and liabilities measured at fair value on a recurring basis and indicate the level of fair value hierarchy utilized to determine such fair values: </w:t>
      </w:r>
    </w:p>
    <w:p>
      <w:pPr>
        <w:pStyle w:val="TextBody"/>
        <w:bidi w:val="0"/>
        <w:jc w:val="left"/>
        <w:rPr/>
      </w:pPr>
      <w:r>
        <w:rPr/>
        <w:t> </w:t>
      </w:r>
    </w:p>
    <w:tbl>
      <w:tblPr>
        <w:tblW w:w="8265" w:type="dxa"/>
        <w:jc w:val="left"/>
        <w:tblInd w:w="0" w:type="dxa"/>
        <w:tblLayout w:type="fixed"/>
        <w:tblCellMar>
          <w:top w:w="28" w:type="dxa"/>
          <w:left w:w="28" w:type="dxa"/>
          <w:bottom w:w="28" w:type="dxa"/>
          <w:right w:w="28" w:type="dxa"/>
        </w:tblCellMar>
      </w:tblPr>
      <w:tblGrid>
        <w:gridCol w:w="3561"/>
        <w:gridCol w:w="146"/>
        <w:gridCol w:w="211"/>
        <w:gridCol w:w="676"/>
        <w:gridCol w:w="146"/>
        <w:gridCol w:w="146"/>
        <w:gridCol w:w="239"/>
        <w:gridCol w:w="391"/>
        <w:gridCol w:w="146"/>
        <w:gridCol w:w="146"/>
        <w:gridCol w:w="211"/>
        <w:gridCol w:w="676"/>
        <w:gridCol w:w="146"/>
        <w:gridCol w:w="146"/>
        <w:gridCol w:w="211"/>
        <w:gridCol w:w="676"/>
        <w:gridCol w:w="39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b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65" w:type="dxa"/>
        <w:jc w:val="left"/>
        <w:tblInd w:w="0" w:type="dxa"/>
        <w:tblLayout w:type="fixed"/>
        <w:tblCellMar>
          <w:top w:w="28" w:type="dxa"/>
          <w:left w:w="28" w:type="dxa"/>
          <w:bottom w:w="28" w:type="dxa"/>
          <w:right w:w="28" w:type="dxa"/>
        </w:tblCellMar>
      </w:tblPr>
      <w:tblGrid>
        <w:gridCol w:w="3561"/>
        <w:gridCol w:w="146"/>
        <w:gridCol w:w="211"/>
        <w:gridCol w:w="676"/>
        <w:gridCol w:w="146"/>
        <w:gridCol w:w="146"/>
        <w:gridCol w:w="239"/>
        <w:gridCol w:w="391"/>
        <w:gridCol w:w="146"/>
        <w:gridCol w:w="146"/>
        <w:gridCol w:w="211"/>
        <w:gridCol w:w="676"/>
        <w:gridCol w:w="146"/>
        <w:gridCol w:w="146"/>
        <w:gridCol w:w="211"/>
        <w:gridCol w:w="676"/>
        <w:gridCol w:w="39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and 2025, there were no transfers between Level 1, Level 2 and Level 3 measurements.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5—“Notes Payable” for the discussion of the fair value methodology of the notes payable and a rollforward of the fair value. See Note 6—“Warrant Liabilities” for the discussion of the fair value methodology of the stock warrants and a rollforward of the fair value.</w:t>
      </w:r>
    </w:p>
    <w:p>
      <w:pPr>
        <w:pStyle w:val="TextBody"/>
        <w:bidi w:val="0"/>
        <w:spacing w:before="240" w:after="283"/>
        <w:jc w:val="left"/>
        <w:rPr>
          <w:rFonts w:ascii="Times New Roman" w:hAnsi="Times New Roman"/>
          <w:sz w:val="20"/>
        </w:rPr>
      </w:pPr>
      <w:r>
        <w:rPr>
          <w:rFonts w:ascii="Times New Roman" w:hAnsi="Times New Roman"/>
          <w:b/>
          <w:color w:val="000000"/>
          <w:sz w:val="20"/>
        </w:rPr>
        <w:t>4. Accrued Expenses and Other Current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w:t>
      </w:r>
    </w:p>
    <w:p>
      <w:pPr>
        <w:pStyle w:val="TextBody"/>
        <w:bidi w:val="0"/>
        <w:jc w:val="left"/>
        <w:rPr/>
      </w:pPr>
      <w:r>
        <w:rPr/>
        <w:t> </w:t>
      </w:r>
    </w:p>
    <w:tbl>
      <w:tblPr>
        <w:tblW w:w="6000" w:type="dxa"/>
        <w:jc w:val="left"/>
        <w:tblInd w:w="0" w:type="dxa"/>
        <w:tblLayout w:type="fixed"/>
        <w:tblCellMar>
          <w:top w:w="28" w:type="dxa"/>
          <w:left w:w="28" w:type="dxa"/>
          <w:bottom w:w="28" w:type="dxa"/>
          <w:right w:w="28" w:type="dxa"/>
        </w:tblCellMar>
      </w:tblPr>
      <w:tblGrid>
        <w:gridCol w:w="3421"/>
        <w:gridCol w:w="146"/>
        <w:gridCol w:w="230"/>
        <w:gridCol w:w="625"/>
        <w:gridCol w:w="146"/>
        <w:gridCol w:w="146"/>
        <w:gridCol w:w="260"/>
        <w:gridCol w:w="835"/>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payroll-related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and consulting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5. Notes Payable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2023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7, 2023, the Company entered into a credit agreement (the “Credit Agreement”) with certain lenders (the “2023 Lenders”) that provided for term loans up to aggregate principal amount of $45.0 million (the “Applicable Commitments”) in two tranches (the “2023 Notes”). The first tranche with a principal amount of $30.0 million was extended on September 7, 2023. The second tranche with a principal amount of $15.0 million would have been extended upon the Company’s achievement of certain operating and funding milestones as defined in the Credit Agreement, by July 31, 2024. Under the Credit Agreement, a further principal amount of $20.0 million may be extended to the Company, subject to the 2023 Lenders’ prior written consent in their sole discretion. Due to a shift in business strategy to include the weight maintenance study, the Company decided not to pursue the milestones required to access the second tranche. As a result, the second tranche was not extended.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outstanding balances of the 2023 Notes bear interest at a floating annual rate equal to the greater of 5.5% above the Wall Street Journal prime rate or 13.25%. On and prior to September 30, 2024, 6.0% of the interest was payable in kind (the “PIK interest”) and added to the outstanding principal amount of the loans. Beginning September 30, 2026, the Company is required to make monthly principal payments in the amount of 1.5% of the aggregate principal amount outstanding, including accrued PIK interest. The Credit Agreement permits a one year extension of the commencement date to September 30, 2027, at the Company’s option if specified financing milestones are achieved by September 30, 2026. In 2024, the Company met these milestones and elected to extend the commencement date to September 30, 2027. In addition, upon any principal payment, the Company is required to make an additional payment to the 2023 Lenders of a 6.0% fee (the “Exit Fee”) over the principal and accrued PIK interest paid. The aggregate Exit Fee of the 2023 Notes should be equal to 6.0% of the total Applicable Commitments of $45.0 million plus all accrued PIK interest. All remaining outstanding principal balance, accrued interest and Exit Fee on the 2023 Notes shall be due and payable on the maturity date of September 7,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issuance of the first tranche of the 2023 Notes, the Company issued to the 2023 Lenders warrants to purchase, at the holders’ choice, shares of the Company’s Series F Convertible Preferred Stock, the most senior series of Preferred Stock of the Company that is then authorized, or the Company’s common stock. The warrants are recorded as part of the warrant liabilities on the condensed consolidated balance sheet.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elected to apply the fair value option to the 2023 Notes in accordance with ASC 825, </w:t>
      </w:r>
      <w:r>
        <w:rPr>
          <w:rFonts w:ascii="Times New Roman" w:hAnsi="Times New Roman"/>
          <w:i/>
          <w:color w:val="000000"/>
          <w:sz w:val="20"/>
        </w:rPr>
        <w:t>Financial Instruments</w:t>
      </w:r>
      <w:r>
        <w:rPr>
          <w:rFonts w:ascii="Times New Roman" w:hAnsi="Times New Roman"/>
          <w:color w:val="000000"/>
          <w:sz w:val="20"/>
        </w:rPr>
        <w:t xml:space="preserve">. Accordingly, the 2023 Notes are marked to market at the end of each reporting period, with changes in fair value recognized as a component of other income (expense) in the condensed consolidated statements of operations and comprehensive income (loss). The fair value was estimated using a discounted cash flow model by discounting projected future cash flows associated with the 2023 Notes to their present value. The discount rate used in the model is based on observable market yields for similarly rated instruments, adjusted for any specific risks inherent in the 2023 Notes, which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level 3 fair value measurement and requires judgment to determine at each period end. Accrued interest on the 2023 Notes is incorporated into the determination of the fair value of the 2023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fair value measurement is based on significant inputs that are not observable in the market and represent a Level 3 measurement. The following table provides a rollforward of the fair value of the 2023 Notes: </w:t>
      </w:r>
    </w:p>
    <w:tbl>
      <w:tblPr>
        <w:tblW w:w="4245" w:type="dxa"/>
        <w:jc w:val="left"/>
        <w:tblInd w:w="0" w:type="dxa"/>
        <w:tblLayout w:type="fixed"/>
        <w:tblCellMar>
          <w:top w:w="28" w:type="dxa"/>
          <w:left w:w="28" w:type="dxa"/>
          <w:bottom w:w="28" w:type="dxa"/>
          <w:right w:w="28" w:type="dxa"/>
        </w:tblCellMar>
      </w:tblPr>
      <w:tblGrid>
        <w:gridCol w:w="2821"/>
        <w:gridCol w:w="146"/>
        <w:gridCol w:w="211"/>
        <w:gridCol w:w="676"/>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contains a minimum liquidity covenant that requires the Company to maintain a minimum $10.0 million balance in cash and/or certain permitted cash equivalent investments, subject to certain exceptions. In addition, the Credit Agreement contains a customary events of default, subject to rights and remedies generally applicable to federal law or the laws of the State of Delaware. As of March 31, 2026, the Company was in compliance with the financial covenants and other terms of the arrangement.</w:t>
      </w:r>
    </w:p>
    <w:p>
      <w:pPr>
        <w:pStyle w:val="TextBody"/>
        <w:bidi w:val="0"/>
        <w:spacing w:before="240" w:after="283"/>
        <w:jc w:val="left"/>
        <w:rPr>
          <w:rFonts w:ascii="Times New Roman" w:hAnsi="Times New Roman"/>
          <w:sz w:val="20"/>
        </w:rPr>
      </w:pPr>
      <w:r>
        <w:rPr>
          <w:rFonts w:ascii="Times New Roman" w:hAnsi="Times New Roman"/>
          <w:b/>
          <w:color w:val="000000"/>
          <w:sz w:val="20"/>
        </w:rPr>
        <w:t>6. Warrant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July 2023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2023, the Company issued fully vested warrants to purchase shares of the Company’s common stock in connection with the issuance of the amended and restated 2022 Convertible Notes (the “July 2023 Warrants”). The July 2023 Warrants were immediately exercisable for a variable number of shares based on the principal amount of the 2022 Convertible Notes, as amended, of $20.9 million, and an exercise price, at the holders’ choice, of (a) $17.9927 per share, (b) the lowest original issue price of shares of Preferred Stock of the Company issued in the Company’s next bona fide private preferred equity financing round, (c) in the event of any convertible note or similar convertible security financing, the conversion price contemplated by such convertible security, or (d) in the event of an IPO, the per share offering price to the public in such IPO. The July 2023 Warrants have a contractual term of ten years from issuance. They were not exercised from their inception through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the July 2023 Warrants was recorded as part of the warrant liabilities on the condensed consolidated balance sheet. The Company remeasures the fair value at the end of each reporting period, with any adjustments being recorded as a component of other income (expense) in the condensed consolidated statements of operations and comprehensive income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July 2023 Warrants was determined using the Black-Scholes valuation model with the following assumptions:</w:t>
      </w:r>
    </w:p>
    <w:p>
      <w:pPr>
        <w:pStyle w:val="TextBody"/>
        <w:bidi w:val="0"/>
        <w:jc w:val="left"/>
        <w:rPr/>
      </w:pPr>
      <w:r>
        <w:rPr/>
        <w:t> </w:t>
      </w:r>
    </w:p>
    <w:tbl>
      <w:tblPr>
        <w:tblW w:w="3178" w:type="dxa"/>
        <w:jc w:val="left"/>
        <w:tblInd w:w="0" w:type="dxa"/>
        <w:tblLayout w:type="fixed"/>
        <w:tblCellMar>
          <w:top w:w="28" w:type="dxa"/>
          <w:left w:w="28" w:type="dxa"/>
          <w:bottom w:w="28" w:type="dxa"/>
          <w:right w:w="28" w:type="dxa"/>
        </w:tblCellMar>
      </w:tblPr>
      <w:tblGrid>
        <w:gridCol w:w="2131"/>
        <w:gridCol w:w="146"/>
        <w:gridCol w:w="90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82.2%</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a rollforward of the fair value of the July 2023 Warrants: </w:t>
      </w:r>
    </w:p>
    <w:p>
      <w:pPr>
        <w:pStyle w:val="TextBody"/>
        <w:bidi w:val="0"/>
        <w:jc w:val="left"/>
        <w:rPr/>
      </w:pPr>
      <w:r>
        <w:rPr/>
        <w:t> </w:t>
      </w:r>
    </w:p>
    <w:tbl>
      <w:tblPr>
        <w:tblW w:w="4243" w:type="dxa"/>
        <w:jc w:val="left"/>
        <w:tblInd w:w="0" w:type="dxa"/>
        <w:tblLayout w:type="fixed"/>
        <w:tblCellMar>
          <w:top w:w="28" w:type="dxa"/>
          <w:left w:w="28" w:type="dxa"/>
          <w:bottom w:w="28" w:type="dxa"/>
          <w:right w:w="28" w:type="dxa"/>
        </w:tblCellMar>
      </w:tblPr>
      <w:tblGrid>
        <w:gridCol w:w="2821"/>
        <w:gridCol w:w="146"/>
        <w:gridCol w:w="239"/>
        <w:gridCol w:w="646"/>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September 2023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2023, in connection with the issuance of the 2023 Notes, the Company issued fully vested warrants to purchase, at the holders’ choice, shares of the Company’s Series F Convertible Preferred Stock, the most senior series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Preferred Stock of the Company that is then authorized, or the Company’s common stock (the “September 2023 Warrants”). The September 2023 Warrants are immediately exercisable for a variable number of shares based on a total fixed dollar value of $4.2 million, and an exercise price, at the holders’ choice, of (a) $17.9927 per share of common stock or $8.3843 per share of Series F Convertible Preferred Stock, (b) the lowest original issue price of any series of Preferred Stock issued by the Company after the issuance date of the September 2023 Warrants, (c) the conversion or exercise price of any convertible debt security, option, or warrant issued by the Company after the issuance date of the September 2023 Warrants, or (d) the price at which the Company’s common equity was first sold to the public by the Company in a firm-commitment underwritten offering or otherwise. The September 2023 Warrants have a contractual term of ten years from issuance. They were not exercised from their inception through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September 2023 Warrants was recorded as part of the warrant liabilities on the condensed consolidated balance sheet. The Company remeasures the fair value at the end of each reporting period, with any adjustments being recorded as a component of other income (expense) in the condensed consolidated statements of operations and comprehensive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September 2023 Warrants was determined using the Black-Scholes valuation model with the following assumptions:</w:t>
      </w:r>
    </w:p>
    <w:tbl>
      <w:tblPr>
        <w:tblW w:w="3178" w:type="dxa"/>
        <w:jc w:val="left"/>
        <w:tblInd w:w="0" w:type="dxa"/>
        <w:tblLayout w:type="fixed"/>
        <w:tblCellMar>
          <w:top w:w="28" w:type="dxa"/>
          <w:left w:w="28" w:type="dxa"/>
          <w:bottom w:w="28" w:type="dxa"/>
          <w:right w:w="28" w:type="dxa"/>
        </w:tblCellMar>
      </w:tblPr>
      <w:tblGrid>
        <w:gridCol w:w="2131"/>
        <w:gridCol w:w="146"/>
        <w:gridCol w:w="90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a rollforward of the fair value of the September 2023 Warrants: </w:t>
      </w:r>
    </w:p>
    <w:tbl>
      <w:tblPr>
        <w:tblW w:w="4243" w:type="dxa"/>
        <w:jc w:val="left"/>
        <w:tblInd w:w="0" w:type="dxa"/>
        <w:tblLayout w:type="fixed"/>
        <w:tblCellMar>
          <w:top w:w="28" w:type="dxa"/>
          <w:left w:w="28" w:type="dxa"/>
          <w:bottom w:w="28" w:type="dxa"/>
          <w:right w:w="28" w:type="dxa"/>
        </w:tblCellMar>
      </w:tblPr>
      <w:tblGrid>
        <w:gridCol w:w="2821"/>
        <w:gridCol w:w="146"/>
        <w:gridCol w:w="270"/>
        <w:gridCol w:w="615"/>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August 2025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6, 2025, the Company entered into an underwriting agreement with Ladenburg Thalmann &amp; Co. Inc. (“Ladenburg”), pursuant to which it issued and sold 19,047,619 shares of its common stock, accompanied by warrants to purchase up to 19,047,619 shares of its common stock (the “Tranche A Warrants”) and warrants to purchase 19,047,619 shares of its common stock (the “Tranche B Warrants”), at a combined offering price of $1.05 per share. As part of the underwriting agreement, the Company also granted Ladenburg a 30-day option to purchase up to an additional 2,857,142 shares of the Company’s common stock, along with associated Tranche A Warrants and Tranche B Warrants, at the combined public offering price of $1.05 per share. Concurrent with the closing of the offering, Ladenburg exercised the option to purchase additional shares of the Company’s common stock, along with associated Tranche A Warrants and Tranche B Warrants, in full.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Tranche A Warrants and Tranche B Warrants were issued on August 7, 2025. The Tranche A Warrants were immediately exercisable and the Tranche B Warrants were only exercisable upon receipt of required stockholder approval, which approval was received on October 3, 2025. See details of each set of warrants below.</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Tranche A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Tranche A Warrant had an exercise price of $1.05 per share, subject to certain adjustments. The Tranche A Warrants were exercisable at any time on or after August 7, 2025 and any unexercised Tranche A Warrants were set to expire on August 7, 2027. The Tranche A Warrants were callable at the Company’s option following the release of 3-month randomized midpoint clinical data from the ongoing REMAIN-1 study, which data was published on September 26, 2025, subject to satisfaction of certain conditions including that the average trading price of the Company’s common stock exceeds $1.37 per share for 15 consecutive trading days and a minimum daily trading volume threshold. In December 2025, the Company satisfied the conditions necessary to call these warrants and exercised its call option. As of December 31,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2025, Tranche A Warrants were exercised to purchase 21,904,261 shares of the Company’s common stock for total proceeds of $23.0 million, $4.1 million of which was received in January 2026. The remaining unexercised 500 warrants were cancelled on December 30, 2025 upon expiration of the warrant call.</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Tranche B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Tranche B Warrant has an exercise price per share of our common stock equal to $1.05, subject to certain adjustments. The Tranche B Warrants became exercisable upon receipt of required stockholder approval at the Special Meeting of Stockholders on October 3, 2025. Any unexercised Tranche B Warrants will expire on October 3, 2030, which is the date that is five years from the date that stockholder approval was received.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Tranche B Warrants was recorded as part of the warrant liabilities on the condensed consolidated balance sheet. The Company remeasures the fair value at the end of each reporting period, with any adjustments being recorded as a component of other income (expense) in the condensed consolidated statements of operations and comprehensive income (loss). As of March 31, 2026, Tranche B Warrants to purchase 21,147,002 shares of the Company’s common stock remained outstanding.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Tranche B Warrants fair value was determined using the Black-Scholes valuation model with the following key assumptions, which was based on significant inputs that are not observable in the market and represented a Level 3 measurement. </w:t>
      </w:r>
    </w:p>
    <w:p>
      <w:pPr>
        <w:pStyle w:val="TextBody"/>
        <w:bidi w:val="0"/>
        <w:jc w:val="left"/>
        <w:rPr/>
      </w:pPr>
      <w:r>
        <w:rPr/>
        <w:t> </w:t>
      </w:r>
    </w:p>
    <w:tbl>
      <w:tblPr>
        <w:tblW w:w="3032" w:type="dxa"/>
        <w:jc w:val="left"/>
        <w:tblInd w:w="0" w:type="dxa"/>
        <w:tblLayout w:type="fixed"/>
        <w:tblCellMar>
          <w:top w:w="28" w:type="dxa"/>
          <w:left w:w="28" w:type="dxa"/>
          <w:bottom w:w="28" w:type="dxa"/>
          <w:right w:w="28" w:type="dxa"/>
        </w:tblCellMar>
      </w:tblPr>
      <w:tblGrid>
        <w:gridCol w:w="2131"/>
        <w:gridCol w:w="901"/>
      </w:tblGrid>
      <w:tr>
        <w:trPr/>
        <w:tc>
          <w:tcPr>
            <w:tcW w:w="213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103.6%</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a rollforward of the fair value of the Tranche B Warrants: </w:t>
      </w:r>
    </w:p>
    <w:p>
      <w:pPr>
        <w:pStyle w:val="TextBody"/>
        <w:bidi w:val="0"/>
        <w:jc w:val="left"/>
        <w:rPr/>
      </w:pPr>
      <w:r>
        <w:rPr/>
        <w:t> </w:t>
      </w:r>
    </w:p>
    <w:tbl>
      <w:tblPr>
        <w:tblW w:w="4305" w:type="dxa"/>
        <w:jc w:val="left"/>
        <w:tblInd w:w="0" w:type="dxa"/>
        <w:tblLayout w:type="fixed"/>
        <w:tblCellMar>
          <w:top w:w="28" w:type="dxa"/>
          <w:left w:w="28" w:type="dxa"/>
          <w:bottom w:w="28" w:type="dxa"/>
          <w:right w:w="28" w:type="dxa"/>
        </w:tblCellMar>
      </w:tblPr>
      <w:tblGrid>
        <w:gridCol w:w="2821"/>
        <w:gridCol w:w="146"/>
        <w:gridCol w:w="211"/>
        <w:gridCol w:w="736"/>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future minimum lease payments for operating and finance leases as of March 31, 2026:</w:t>
      </w:r>
    </w:p>
    <w:p>
      <w:pPr>
        <w:pStyle w:val="TextBody"/>
        <w:bidi w:val="0"/>
        <w:jc w:val="left"/>
        <w:rPr/>
      </w:pPr>
      <w:r>
        <w:rPr/>
        <w:t> </w:t>
      </w:r>
    </w:p>
    <w:tbl>
      <w:tblPr>
        <w:tblW w:w="4805" w:type="dxa"/>
        <w:jc w:val="left"/>
        <w:tblInd w:w="0" w:type="dxa"/>
        <w:tblLayout w:type="fixed"/>
        <w:tblCellMar>
          <w:top w:w="28" w:type="dxa"/>
          <w:left w:w="28" w:type="dxa"/>
          <w:bottom w:w="28" w:type="dxa"/>
          <w:right w:w="28" w:type="dxa"/>
        </w:tblCellMar>
      </w:tblPr>
      <w:tblGrid>
        <w:gridCol w:w="3381"/>
        <w:gridCol w:w="146"/>
        <w:gridCol w:w="211"/>
        <w:gridCol w:w="676"/>
        <w:gridCol w:w="39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Please see Note 7—“Leases” in the Notes to the consolidated financial statements included in Item 8 of the Company’s Annual Report for further discussion of the Company’s material lease agreements.</w:t>
      </w:r>
    </w:p>
    <w:p>
      <w:pPr>
        <w:pStyle w:val="TextBody"/>
        <w:bidi w:val="0"/>
        <w:spacing w:before="240" w:after="283"/>
        <w:jc w:val="left"/>
        <w:rPr>
          <w:rFonts w:ascii="Times New Roman" w:hAnsi="Times New Roman"/>
          <w:sz w:val="20"/>
        </w:rPr>
      </w:pPr>
      <w:r>
        <w:rPr>
          <w:rFonts w:ascii="Times New Roman" w:hAnsi="Times New Roman"/>
          <w:b/>
          <w:color w:val="000000"/>
          <w:sz w:val="20"/>
        </w:rPr>
        <w:t>8. Preferred and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the Company’s board of directors approved an Amended and Restated Certificate of Incorporation, authorizing the Company to issue 10,000,000 shares of undesignated preferred stock at $0.00001 par value per share. There were no shares of such preferred stock outstanding as of March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the Company’s board of directors approved an Amended and Restated Certificate of Incorporation, authorizing the Company to issue 300,000,000 shares of common stock at $0.00001 par value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the Company entered into exchange agreements with certain investors pursuant to which these investors exchanged 4,850,000 shares of the Company’s common stock for an equal number of pre-funded warrants with an exercise price of $0.00001 per share. In January 2026, these investors exercised all 4,850,000 shares of pre-funded warrants, resulting in the issuance by the Company of 4,843,179 shares of common stock, with the remaining 6,821 shares withheld to satisfy the aggregate exercise price of the pre-funded warrants.</w:t>
      </w:r>
    </w:p>
    <w:p>
      <w:pPr>
        <w:pStyle w:val="TextBody"/>
        <w:bidi w:val="0"/>
        <w:spacing w:before="240" w:after="283"/>
        <w:jc w:val="left"/>
        <w:rPr>
          <w:rFonts w:ascii="Times New Roman" w:hAnsi="Times New Roman"/>
          <w:sz w:val="20"/>
        </w:rPr>
      </w:pPr>
      <w:r>
        <w:rPr>
          <w:rFonts w:ascii="Times New Roman" w:hAnsi="Times New Roman"/>
          <w:b/>
          <w:i/>
          <w:color w:val="000000"/>
          <w:sz w:val="20"/>
        </w:rPr>
        <w:t>S-3 Registration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3, 2025, the Company filed a Registration Statement on Form S-3 with the SEC, which was subsequently amended on March 13, 2025 (as amended, the “S-3 Registration Statement”). The S-3 Registration Statement became effective on March 18, 2025. It contains a base prospectus, which covers the offering, issuance and sale of up to $300.0 million in the aggregate of the securities from time to time in one or more offerings.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240" w:after="283"/>
        <w:jc w:val="left"/>
        <w:rPr>
          <w:rFonts w:ascii="Times New Roman" w:hAnsi="Times New Roman"/>
          <w:sz w:val="20"/>
        </w:rPr>
      </w:pPr>
      <w:r>
        <w:rPr>
          <w:rFonts w:ascii="Times New Roman" w:hAnsi="Times New Roman"/>
          <w:color w:val="000000"/>
          <w:sz w:val="20"/>
        </w:rPr>
        <w:t>On March 3, 2025, concurrently with the filing of the S-3 Registration Statement, the Company entered into a sales agreement with Jefferies LLC as sales agent (the “Sales Agreement”) and filed a prospectus supplement under an at-the-market offering (the “ATM Offering”) covering the offering, issuance and sale of up to a maximum aggregate offering price of $100.0 million of the Company’s common stock. During the term of the ATM Offering, the Company issued and sold 4,701,960 shares of its common stock at a weighted average price of $1.53 per share, resulting in net proceeds of approximately $6.8 million, after deducting commissions and offering expenses. On March 23, 2026, the Company notified Jefferies LLC of its intention to</w:t>
      </w:r>
      <w:r>
        <w:rPr>
          <w:rFonts w:ascii="Times New Roman" w:hAnsi="Times New Roman"/>
          <w:color w:val="0F9ED5"/>
          <w:sz w:val="20"/>
        </w:rPr>
        <w:t xml:space="preserve"> </w:t>
      </w:r>
      <w:r>
        <w:rPr>
          <w:rFonts w:ascii="Times New Roman" w:hAnsi="Times New Roman"/>
          <w:color w:val="000000"/>
          <w:sz w:val="20"/>
        </w:rPr>
        <w:t>terminate the Sales Agreement pursuant to its terms. As a result, the Sales Agreement was terminated effective April 6, 2026 and no further sales will be made thereunder after such date.</w:t>
      </w:r>
    </w:p>
    <w:p>
      <w:pPr>
        <w:pStyle w:val="TextBody"/>
        <w:bidi w:val="0"/>
        <w:spacing w:before="24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2011 Stock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2011 Stock Incentive Plan, as amended, (the “2011 Plan”) provided for the Company to grant restricted stock, restricted stock units, incentive stock options and nonqualified stock options with respect to shares of common stock to employees, officers, directors, consultants and advisors of the Company. Incentive stock options could only be granted to employees. The 2011 Plan is administered by the board of directors, or at the discretion of the board of directors, by a committee of the board of directors. The exercise prices, vesting schedules and other restrictions of awards were determined at the discretion of the board of directors or by a committee of the board of directors if so delegated, except that the exercise price per share of stock options could not be less than 100% of the fair market value of a share of common stock on the date of grant and the term of stock option could not be greater than ten years. Upon the effective date of the 2024 Incentive Award Plan (the “2024 Plan”), as discussed below, the Company ceased granting equity awards under the 2011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2024 Incentive Award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26, 2024, the Company’s board of directors adopted the 2024 Plan, which became effective on February 1, 2024. The 2024 Plan provides for the grant of restricted stock, restricted stock units, incentive stock options, nonqualified stock options, stock appreciation rights and other stock or cash-based awards with respect to shares of common stock to employees, officers, directors, consultants and advisors of the Company. The 2024 Plan is administered by the board of directors, or at the discretion of the board of directors, by a committee of the board of directors. The exercise prices, vesting schedules and other restrictions on awards are determined at the discretion of the board of directors or by a committee of the board of directors if so delegated, except that the term of any stock option may not be greater than ten years. The number of shares of the Company’s common stock initially reserved for issuance under the 2024 Plan was 4,298,825 shares plus the number of shares subject to awards outstanding under the 2011 Plan that expire, terminate or are otherwise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surrendered, cancelled, forfeited or repurchased by the Company on or after the effective date of the 2024 Plan. In addition, the number of shares of common stock available for issuance under the 2024 Plan is subject to an annual increase on the first day of each calendar year beginning on January 1, 2025, and ending on and including January 1, 2034, equal to the lesser of (i) 5% of the aggregate number of shares of Common Stock outstanding on the final day of the immediately preceding calendar year and (ii) such smaller number of shares of Common Stock as determined by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3,907,210 and 3,035,013 shares available for future grant under the 2024 Plan as of March 31, 2026 and December 31,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2024 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26, 2024, the Company’s board of directors adopted the 2024 Employee Stock Purchase Plan (the “2024 ESPP Plan”), which became effective on February 1, 2024. The number of shares of the Company’s common stock initially reserved for issuance under the 2024 ESPP Plan was 487,070 shares, which is eligible for an annual increase on the first day of each calendar year beginning on January 1, 2025 and ending on and including January 1, 2034 equal to the lesser of (i) 1% of the shares of Common Stock outstanding on the final day of the immediately preceding calendar year and (ii) such smaller number of shares of Common Stock as determined by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2024 ESPP Plan provides for rolling six-month offering periods. The Company began its first offering period on August 1, 2025, and issued 433,740 shares of common stock on January 30, 2026 at the end of the offering period. There were 2,074,604 and 974,624 shares available for future grant under the 2024 ESPP Plan as of March 31, 2026 and December 31,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recorded stock-based compensation expense related to its ESPP, stock options, and restricted stock units in the following expense categories within its condensed consolidated statements of operations and comprehensive income (loss): </w:t>
      </w:r>
    </w:p>
    <w:p>
      <w:pPr>
        <w:pStyle w:val="TextBody"/>
        <w:bidi w:val="0"/>
        <w:jc w:val="left"/>
        <w:rPr/>
      </w:pPr>
      <w:r>
        <w:rPr/>
        <w:t> </w:t>
      </w:r>
    </w:p>
    <w:tbl>
      <w:tblPr>
        <w:tblW w:w="5689" w:type="dxa"/>
        <w:jc w:val="left"/>
        <w:tblInd w:w="0" w:type="dxa"/>
        <w:tblLayout w:type="fixed"/>
        <w:tblCellMar>
          <w:top w:w="28" w:type="dxa"/>
          <w:left w:w="28" w:type="dxa"/>
          <w:bottom w:w="28" w:type="dxa"/>
          <w:right w:w="28" w:type="dxa"/>
        </w:tblCellMar>
      </w:tblPr>
      <w:tblGrid>
        <w:gridCol w:w="2956"/>
        <w:gridCol w:w="146"/>
        <w:gridCol w:w="272"/>
        <w:gridCol w:w="738"/>
        <w:gridCol w:w="188"/>
        <w:gridCol w:w="188"/>
        <w:gridCol w:w="272"/>
        <w:gridCol w:w="738"/>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the Company granted to its employees stock options to purchase a total of 1,045,682 shares of common stock.</w:t>
      </w:r>
    </w:p>
    <w:p>
      <w:pPr>
        <w:pStyle w:val="TextBody"/>
        <w:bidi w:val="0"/>
        <w:spacing w:before="240" w:after="283"/>
        <w:jc w:val="left"/>
        <w:rPr>
          <w:rFonts w:ascii="Times New Roman" w:hAnsi="Times New Roman"/>
          <w:sz w:val="20"/>
        </w:rPr>
      </w:pPr>
      <w:r>
        <w:rPr>
          <w:rFonts w:ascii="Times New Roman" w:hAnsi="Times New Roman"/>
          <w:b/>
          <w:color w:val="000000"/>
          <w:sz w:val="20"/>
        </w:rPr>
        <w:t>10. Net Income (Loss)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securities that could potentially dilute basic net income (loss) per share in the future were not included in the computation of diluted net income (loss) per share for the periods presented, because to do so would have been antidilutive: </w:t>
      </w:r>
    </w:p>
    <w:p>
      <w:pPr>
        <w:pStyle w:val="TextBody"/>
        <w:bidi w:val="0"/>
        <w:jc w:val="left"/>
        <w:rPr/>
      </w:pPr>
      <w:r>
        <w:rPr/>
        <w:t> </w:t>
      </w:r>
    </w:p>
    <w:tbl>
      <w:tblPr>
        <w:tblW w:w="7344" w:type="dxa"/>
        <w:jc w:val="left"/>
        <w:tblInd w:w="0" w:type="dxa"/>
        <w:tblLayout w:type="fixed"/>
        <w:tblCellMar>
          <w:top w:w="28" w:type="dxa"/>
          <w:left w:w="28" w:type="dxa"/>
          <w:bottom w:w="28" w:type="dxa"/>
          <w:right w:w="28" w:type="dxa"/>
        </w:tblCellMar>
      </w:tblPr>
      <w:tblGrid>
        <w:gridCol w:w="4351"/>
        <w:gridCol w:w="146"/>
        <w:gridCol w:w="146"/>
        <w:gridCol w:w="1036"/>
        <w:gridCol w:w="146"/>
        <w:gridCol w:w="146"/>
        <w:gridCol w:w="146"/>
        <w:gridCol w:w="1036"/>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19,671,897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11,092,400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21,308,618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41,530,304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11,276,516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presented above does not include the number of shares that may be issued upon exercises of the common stock warrants issued in connection with the 2022 Convertible Notes and the 2023 Notes because the number of shares to be issued under these warrants are variable based on a variable exercise price at the warrant holders’ option.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has identified one operating and reportable segment. The Company defines its operating segments based on internally reported financial information that is regularly reviewed by the Chief Operating Decision Maker (“CODM”) to analyze financial performance, make decisions, and allocate resources. The Company’s Chief Executive Officer is the CODM.</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CODM views specific categories within research and development expenses and selling, general and administrative expenses in total as significant given the direct correlation between cash burn and profitability as a pre-commercial company. The following table reconciles reported operating expenses to net loss under the significant expense principle for the three months ended March 31, 2026 and 2025:</w:t>
      </w:r>
    </w:p>
    <w:tbl>
      <w:tblPr>
        <w:tblW w:w="6985" w:type="dxa"/>
        <w:jc w:val="left"/>
        <w:tblInd w:w="0" w:type="dxa"/>
        <w:tblLayout w:type="fixed"/>
        <w:tblCellMar>
          <w:top w:w="28" w:type="dxa"/>
          <w:left w:w="28" w:type="dxa"/>
          <w:bottom w:w="28" w:type="dxa"/>
          <w:right w:w="28" w:type="dxa"/>
        </w:tblCellMar>
      </w:tblPr>
      <w:tblGrid>
        <w:gridCol w:w="3896"/>
        <w:gridCol w:w="146"/>
        <w:gridCol w:w="233"/>
        <w:gridCol w:w="749"/>
        <w:gridCol w:w="161"/>
        <w:gridCol w:w="161"/>
        <w:gridCol w:w="233"/>
        <w:gridCol w:w="815"/>
        <w:gridCol w:w="591"/>
      </w:tblGrid>
      <w:tr>
        <w:trPr/>
        <w:tc>
          <w:tcPr>
            <w:tcW w:w="3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Revita direct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Rejuva direct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6,839</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30,038</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 Subsequent Event</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Termination of ATM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23, 2026, the Company provided notice to Jefferies LLC of its termination of the Sales Agreement associated with the ATM Offering. The termination took effect on April 6, 2026 and, as a result, no further sales of the Company’s common stock will be made under the ATM Offering.</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management_discussion_analysi"/>
      <w:bookmarkEnd w:id="12"/>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(i) our unaudited condensed consolidated financial statements and related notes, appearing elsewhere in this Quarterly Report on Form 10-Q and (ii) the audited consolidated financial statements and related notes and management’s discussion and analysis of financial condition and results of operations for the fiscal year ended December 31, 2025 included in our Annual Report on Form 10-K, filed with the Securities and Exchange Commission (the “SEC”), on March 24, 2026 (“Annual Report”). Some of the information contained in this discussion and analysis or set forth elsewhere in this Quarterly Report on Form 10-Q, including information with respect to our plans and strategy for our business and related financing, contains forward-looking statements that involve risks and uncertainties. As a result of many factors, including those factors set forth in the “Risk Factors” sections of this Quarterly Report on Form 10-Q and our Annual Report, our actual results could differ materially from the results described in or implied by the forward-looking statements contained in the following discussion and analysis.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We are a clinical-stage metabolic therapeutics company focused on pioneering novel approaches to treat obesity and type 2 diabetes (“T2D”). Our Revita</w:t>
      </w:r>
      <w:r>
        <w:rPr>
          <w:rFonts w:ascii="Times New Roman" w:hAnsi="Times New Roman"/>
          <w:color w:val="000000"/>
          <w:sz w:val="13"/>
        </w:rPr>
        <w:t xml:space="preserve">® </w:t>
      </w:r>
      <w:r>
        <w:rPr>
          <w:rFonts w:ascii="Times New Roman" w:hAnsi="Times New Roman"/>
          <w:color w:val="000000"/>
          <w:sz w:val="20"/>
        </w:rPr>
        <w:t>and Rejuva</w:t>
      </w:r>
      <w:r>
        <w:rPr>
          <w:rFonts w:ascii="Times New Roman" w:hAnsi="Times New Roman"/>
          <w:color w:val="000000"/>
          <w:sz w:val="13"/>
        </w:rPr>
        <w:t>®</w:t>
      </w:r>
      <w:r>
        <w:rPr>
          <w:rFonts w:ascii="Times New Roman" w:hAnsi="Times New Roman"/>
          <w:color w:val="000000"/>
          <w:sz w:val="20"/>
        </w:rPr>
        <w:t xml:space="preserve"> candidates are designed to target root causes of metabolic diseases, allowing us to advance metabolic disease treatment from chronic management towards prevention and reversion of the disease. For a detailed description of our business, product candidates, and development programs, refer to our Annual Report.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Key Developments During the Three Months Ended March 31, 2026</w:t>
      </w:r>
    </w:p>
    <w:p>
      <w:pPr>
        <w:pStyle w:val="TextBody"/>
        <w:bidi w:val="0"/>
        <w:spacing w:before="0" w:after="120"/>
        <w:jc w:val="left"/>
        <w:rPr>
          <w:rFonts w:ascii="Times New Roman" w:hAnsi="Times New Roman"/>
          <w:sz w:val="20"/>
        </w:rPr>
      </w:pPr>
      <w:r>
        <w:rPr>
          <w:rFonts w:ascii="Times New Roman" w:hAnsi="Times New Roman"/>
          <w:i/>
          <w:color w:val="000000"/>
          <w:sz w:val="20"/>
        </w:rPr>
        <w:t>Revita. REMAIN-1 Midpoint Cohort.</w:t>
      </w:r>
      <w:r>
        <w:rPr>
          <w:rFonts w:ascii="Times New Roman" w:hAnsi="Times New Roman"/>
          <w:color w:val="000000"/>
          <w:sz w:val="20"/>
        </w:rPr>
        <w:t xml:space="preserve"> In January 2026, we announced 6-month randomized data. As of January 29, 2026, across the prespecified efficacy population (n=40, with five participants excluded per protocol due to diet and lifestyle noncompliance and only included in the safety population), Revita-treated participants experienced a 4.5% weight regain vs 7.5% in the sham arm at 6 months (p=0.07, one-sided), consistent with meaningful and sustained attenuation of the expected post-GLP-1 rebound trajectory. An exploratory analysis of participants who achieved above median weight loss during GLP-1 run-in (n=20) showed that Revita-treated participants experienced 4.2% weight regain versus 13.3% with sham at 6 months, corresponding to an approximately 70% relative reduction in post-GLP-1 weight regain (LS mean difference -9.1%; p=0.004, one-sided). As expected, treatment-by-run-in weight loss interaction terms suggested a meaningful relationship between degree of GLP-1-associated weight loss and the magnitude of Revita benefit. Further post-hoc analysis in March 2026 demonstrated a statistically significant correlation between ablation length and weight maintenance in the Revita arm and that more complete duodenal ablation drives greater treatment effect (n=29; p=0.048). Putting both together, in participants with above median GLP-1-induced weight loss who received greater than 14 cm duodenal ablation, Revita participants retained 88% of GLP-1 induced weight loss at six months compared to only 60% in sham participants. Revita continued to demonstrate favorable safety and tolerability results through six months, with no treatment-emergent serious adverse events related to the device or procedure, and no study discontinuations due to adverse events. No new related adverse events were observed between 3- and 6-month follow up.</w:t>
      </w:r>
    </w:p>
    <w:p>
      <w:pPr>
        <w:pStyle w:val="TextBody"/>
        <w:bidi w:val="0"/>
        <w:spacing w:before="120" w:after="283"/>
        <w:jc w:val="left"/>
        <w:rPr>
          <w:rFonts w:ascii="Times New Roman" w:hAnsi="Times New Roman"/>
          <w:sz w:val="20"/>
        </w:rPr>
      </w:pPr>
      <w:r>
        <w:rPr>
          <w:rFonts w:ascii="Times New Roman" w:hAnsi="Times New Roman"/>
          <w:i/>
          <w:color w:val="000000"/>
          <w:sz w:val="20"/>
        </w:rPr>
        <w:t>Rejuva.</w:t>
      </w:r>
      <w:r>
        <w:rPr>
          <w:rFonts w:ascii="Times New Roman" w:hAnsi="Times New Roman"/>
          <w:color w:val="000000"/>
          <w:sz w:val="20"/>
        </w:rPr>
        <w:t xml:space="preserve"> We completed key preclinical </w:t>
      </w:r>
      <w:r>
        <w:rPr>
          <w:rFonts w:ascii="Times New Roman" w:hAnsi="Times New Roman"/>
          <w:i/>
          <w:color w:val="000000"/>
          <w:sz w:val="20"/>
        </w:rPr>
        <w:t>in vivo s</w:t>
      </w:r>
      <w:r>
        <w:rPr>
          <w:rFonts w:ascii="Times New Roman" w:hAnsi="Times New Roman"/>
          <w:color w:val="000000"/>
          <w:sz w:val="20"/>
        </w:rPr>
        <w:t>tudies to support clinical trial applications (“CTAs”) for RJVA-001, our lead gene therapy candidate and subsequently submitted CTAs for RJVA-001 in T2D to regulators in the EU (Netherlands) and Australia in the second half of 2025. In April 2026, we received CTA authorization in the Netherlands for RJVA-001, enabling initiation of the anticipated Phase 1/2 first-in-human study evaluating RJVA-001 in adults with inadequately controlled T2D. Subject to site activation, we expect to dose the first patient with RJVA-001 and report preliminary data in the second half of 2026. We also plan to conduct the study at sites in Australia, where a CTA has been submitted and regulatory feedback is expected in the third quarter of 2026. We also advanced RJVA-002, our dual GIP/GLP-1 gene therapy candidate, through preclinical development.</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Anticipated 2026 Revita Milestones</w:t>
      </w:r>
    </w:p>
    <w:p>
      <w:pPr>
        <w:pStyle w:val="TextBody"/>
        <w:bidi w:val="0"/>
        <w:jc w:val="left"/>
        <w:rPr>
          <w:rFonts w:ascii="Times New Roman" w:hAnsi="Times New Roman"/>
          <w:color w:val="000000"/>
          <w:sz w:val="20"/>
        </w:rPr>
      </w:pPr>
      <w:r>
        <w:rPr>
          <w:rFonts w:ascii="Times New Roman" w:hAnsi="Times New Roman"/>
          <w:color w:val="000000"/>
          <w:sz w:val="20"/>
        </w:rPr>
        <w:t>With randomization complete of the REMAIN-1 Pivotal Cohort, we are advancing toward multiple anticipated clinical and regulatory milestones toward pivotal readout and potential U.S. regulatory submission. In March 2026 in connection with its regulatory strategy, the Company received pre-submission feedback from the FDA in which it acknowledged that the safety profile of the Revita DMR System, based on clinical data from over 300 procedures, is consistent with a Class II device classification. As in all applications, the FDA indicated that final pathway determinations will be made following review of the complete safety dataset which the Company intends to include in its potential De Novo marketing application submission.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One-year REVEAL-1 Cohort data in the second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One-year REMAIN-1 Midpoint Cohort randomized data in the third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Topline six-month randomized data from the REMAIN-1 Pivotal Cohort in the early fourth quarter of 2026.</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Potential FDA De Novo marketing application submission in post-GLP-1 weight maintenance in the late fourth quarter of 2026.</w:t>
      </w:r>
    </w:p>
    <w:p>
      <w:pPr>
        <w:pStyle w:val="TextBody"/>
        <w:bidi w:val="0"/>
        <w:jc w:val="left"/>
        <w:rPr>
          <w:rFonts w:ascii="Times New Roman" w:hAnsi="Times New Roman"/>
          <w:b/>
          <w:color w:val="000000"/>
          <w:sz w:val="20"/>
        </w:rPr>
      </w:pPr>
      <w:r>
        <w:rPr>
          <w:rFonts w:ascii="Times New Roman" w:hAnsi="Times New Roman"/>
          <w:b/>
          <w:color w:val="000000"/>
          <w:sz w:val="20"/>
        </w:rPr>
        <w:t>Anticipated 2026 Rejuva Milestones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First-in-human dosing of RJVA-001, subject to site activation, and expected reporting of preliminary data in the second half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pursuing opportunities to strengthen our balance sheet and fund our path towards potential commercialization, leveraging the achievement of clinical data milestones.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believes that our available cash and cash equivalents balance of $63.2 million as of March 31, 2026 will be sufficient to fund our operating expenses and capital expenditure requirements into early 2027. Importantly, we are well funded through multiple key clinical and regulatory milestones in 2026, including the anticipated topline six-month randomized data from the REMAIN-1 Pivotal Cohort, anticipated De Novo marketing application submission in post-GLP-1 weight maintenance, and initial dosing and preliminary data from our RJVA-001 clinical program. For additional information regarding our liquidity, funding requirements and going concern assessment, see “Funding Requirements and Going Concern” below and the section titled “Risk Factors” in our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Condensed Consolidated Results of Operations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material changes to the components of our results of operations described in </w:t>
      </w:r>
      <w:r>
        <w:rPr>
          <w:rFonts w:ascii="Times New Roman" w:hAnsi="Times New Roman"/>
          <w:i/>
          <w:color w:val="000000"/>
          <w:sz w:val="20"/>
        </w:rPr>
        <w:t>Part II, Item 7. Management’s Discussion and Analysis of Financial Condition and Results of Operations</w:t>
      </w:r>
      <w:r>
        <w:rPr>
          <w:rFonts w:ascii="Times New Roman" w:hAnsi="Times New Roman"/>
          <w:color w:val="000000"/>
          <w:sz w:val="20"/>
        </w:rPr>
        <w:t xml:space="preserve"> of our Annual Report, except as stated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reflects our research and development expenses, including direct program-specific expenses summarized by program, indirect expenses, and personnel-related expenses recognized during each period presented:</w:t>
      </w:r>
    </w:p>
    <w:p>
      <w:pPr>
        <w:pStyle w:val="TextBody"/>
        <w:bidi w:val="0"/>
        <w:jc w:val="left"/>
        <w:rPr/>
      </w:pPr>
      <w:r>
        <w:rPr/>
        <w:t> </w:t>
      </w:r>
    </w:p>
    <w:tbl>
      <w:tblPr>
        <w:tblW w:w="8296" w:type="dxa"/>
        <w:jc w:val="left"/>
        <w:tblInd w:w="0" w:type="dxa"/>
        <w:tblLayout w:type="fixed"/>
        <w:tblCellMar>
          <w:top w:w="28" w:type="dxa"/>
          <w:left w:w="28" w:type="dxa"/>
          <w:bottom w:w="28" w:type="dxa"/>
          <w:right w:w="28" w:type="dxa"/>
        </w:tblCellMar>
      </w:tblPr>
      <w:tblGrid>
        <w:gridCol w:w="5461"/>
        <w:gridCol w:w="146"/>
        <w:gridCol w:w="245"/>
        <w:gridCol w:w="785"/>
        <w:gridCol w:w="169"/>
        <w:gridCol w:w="169"/>
        <w:gridCol w:w="245"/>
        <w:gridCol w:w="785"/>
        <w:gridCol w:w="29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program-specific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Revita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Rejuva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direct program-specific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15,598</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Critical Accounting Policies and Significant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unaudited condensed consolidated financial statements, which have been prepared in accordance with U.S. GAAP. The preparation of unaudited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significant accounting policies are described in more detail in Note 2 – “Significant Accounting Policies” to our unaudited condensed consolidated financial statements appearing elsewhere in this Quarterly Report on Form 10-Q as well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Note 2 – “Significant Accounting Policies” to our audited financial statements as of and for the year ended December 31, 2025 included in our Annual Report.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three months ended 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condensed consolidated results of operations for the three months ended March 31, 2026 and 2025.</w:t>
      </w:r>
    </w:p>
    <w:p>
      <w:pPr>
        <w:pStyle w:val="TextBody"/>
        <w:bidi w:val="0"/>
        <w:jc w:val="left"/>
        <w:rPr/>
      </w:pPr>
      <w:r>
        <w:rPr/>
        <w:t> </w:t>
      </w:r>
    </w:p>
    <w:tbl>
      <w:tblPr>
        <w:tblW w:w="9974" w:type="dxa"/>
        <w:jc w:val="left"/>
        <w:tblInd w:w="0" w:type="dxa"/>
        <w:tblLayout w:type="fixed"/>
        <w:tblCellMar>
          <w:top w:w="28" w:type="dxa"/>
          <w:left w:w="28" w:type="dxa"/>
          <w:bottom w:w="28" w:type="dxa"/>
          <w:right w:w="28" w:type="dxa"/>
        </w:tblCellMar>
      </w:tblPr>
      <w:tblGrid>
        <w:gridCol w:w="4276"/>
        <w:gridCol w:w="146"/>
        <w:gridCol w:w="229"/>
        <w:gridCol w:w="801"/>
        <w:gridCol w:w="180"/>
        <w:gridCol w:w="158"/>
        <w:gridCol w:w="229"/>
        <w:gridCol w:w="801"/>
        <w:gridCol w:w="166"/>
        <w:gridCol w:w="146"/>
        <w:gridCol w:w="211"/>
        <w:gridCol w:w="676"/>
        <w:gridCol w:w="166"/>
        <w:gridCol w:w="146"/>
        <w:gridCol w:w="146"/>
        <w:gridCol w:w="721"/>
        <w:gridCol w:w="776"/>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2,833.4</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by $3.8 million, or 19.7%, during the three months ended March 31, 2026, as compared to the three months ended March 31, 2025. The decrease was primarily related to reduced spending on our Revita and Rejuva programs, as well as lower personnel-related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Revita-related expenses decreased by $1.7 million primarily driven by a $1.6 million reduction in clinical expenses, which was mainly due to reduced expenses associated with the REVITALIZE-1 study following our Strategic Reprioritization in the first quarter of 2025, partially offset by increased costs related to the ongoing REMAIN-1 study. Rejuva-related expenses decreased by $1.5 million, primarily driven by lower spending on drug product manufacturing and pre-clinical research activities, partially offset by costs incurred to advance the program toward clinical readiness. Personnel related expenses decreased by $0.6 million, primarily related to lower headcount as a result of our Strategic Reprioritization in the first quarter of 2025.</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during the three months ended March 31, 2026 were $5.2 million, consistent with $5.3 million during the three months ended March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net, of $30.0 million during the three months ended March 31, 2026 was primarily attributable to a $30.1 million gain from the change in fair value of our warrant liabilities and $0.6 million of net interest income, partially offset by a $0.6 million loss from the change in fair value of the 2023 Notes. Other income, net, of $1.0 million during the three months ended March 31, 2025 was primarily attributable to a $0.8 million gain from the change in fair value of our warrant liabilities and $0.5 million of net interest income, partially offset by a $0.3 million loss from the change in fair value of the 2023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 in fair value of warrant liabilities was mainly a result of the fluctuation of the value of the underlying shares of our common stock. Change in fair value of the 2023 Notes were primarily driven by a combination of interest on the notes payable and the fluctuation of market interest rates.</w:t>
      </w:r>
    </w:p>
    <w:p>
      <w:pPr>
        <w:pStyle w:val="TextBody"/>
        <w:bidi w:val="0"/>
        <w:spacing w:before="24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U.S. GAAP, we also evaluate our performance using Adjusted EBITDA, a non-GAAP financial measure. We define Adjusted EBITDA as net income (loss) adjusted to exclude (i) interest income, net, (ii) depreciation expense, (iii) stock-based compensation expense, (iv) changes in the fair value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notes payable and (v) changes in the fair value of warrant liabilities.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We present Adjusted EBITDA as supplemental information because management believes it provides additional insight into our operating performance and facilitates comparisons of our results from period to period by excluding items that are non-cash or non-operational in nature and may vary in magnitude. Management uses Adjusted EBITDA in evaluating our operating performance and in planning and forecasting future periods.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Adjusted EBITDA should not be considered in isolation or as a substitute for, or superior to, net loss or any other measure of financial performance prepared in accordance with GAAP. Adjusted EBITDA does not reflect interest income, depreciation, stock-based compensation expense, or changes in the fair value of certain financial instruments, each of which may be significant. In addition, our definition of Adjusted EBITDA may differ from similarly titled measures used by other companies and therefore may not be comparable.</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A reconciliation of net income (loss), the most directly comparable GAAP financial measure, to Adjusted EBITDA is presented below.</w:t>
      </w:r>
    </w:p>
    <w:tbl>
      <w:tblPr>
        <w:tblW w:w="6214" w:type="dxa"/>
        <w:jc w:val="left"/>
        <w:tblInd w:w="0" w:type="dxa"/>
        <w:tblLayout w:type="fixed"/>
        <w:tblCellMar>
          <w:top w:w="28" w:type="dxa"/>
          <w:left w:w="28" w:type="dxa"/>
          <w:bottom w:w="28" w:type="dxa"/>
          <w:right w:w="28" w:type="dxa"/>
        </w:tblCellMar>
      </w:tblPr>
      <w:tblGrid>
        <w:gridCol w:w="3551"/>
        <w:gridCol w:w="146"/>
        <w:gridCol w:w="211"/>
        <w:gridCol w:w="736"/>
        <w:gridCol w:w="166"/>
        <w:gridCol w:w="146"/>
        <w:gridCol w:w="211"/>
        <w:gridCol w:w="736"/>
        <w:gridCol w:w="31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manage our cash and capital structure to maintain our financial condition and maintain flexibility for future strategic initiatives. We continuously assess our working capital needs, debt and leverage levels, debt maturity schedule, capital expenditure requirements and future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Loan and Security Agreements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2023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7, 2023, we entered into a credit agreement, as amended from time to time (the “Credit Agreement”), with Symbiotic Capital Opportunities Holding, L.P. and Catalio Structured Opportunities AIV I LP (the “2023 Lenders”) that provided for term loans up to an aggregate principal amount of $45.0 million (the “2023 Notes”) in two tranches. The first tranche, with a principal amount of $30.0 million, was extended on September 7, 2023, resulting in net proceeds of approximately $28.4 million. The second tranche, with a principal amount of $15.0 million, would have been extended upon our achievement of certain operating and funding milestones as defined in the Credit Agreement, by July 31, 2024. Due to a shift in business strategy expansion to include the weight maintenance study, we decided not to pursue the milestones required to access the second tranche. As a result, the second tranche was not extended.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as amended, contains financial covenants, including a minimum liquidity covenant requiring us to maintain a minimum $10.0 million balance in cash and cash equivalents on deposit in accounts, subject to certain exceptions. As of March 31, 2026, we were in compliance with the minimum liquidity covenant and other terms of the arrangement.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outstanding balances under the 2023 Notes bear interest at a floating annual rate equal to the greater of 5.5% above the Wall Street Journal prime rate or 13.25%. On and prior to September 30, 2024, 6.0% of the interest is payable in kind and added to the outstanding principal amount of the 2023 Notes. Beginning September 30, 2026, we are required to make principal payments in the amount of 1.5% of the aggregate principal amount outstanding, including accrued PIK interest, each month. Under the terms of the Credit Agreement, the first principal payment date may be extended to September 30, 2027, at our election, if certain financing milestones as defined in the Credit Agreement are achieved on or prior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September 30, 2026. During 2024, we achieved the defined milestones and elected to extend the first principal payment date to September 30, 2027. In addition, upon any principal payment, we are required to make an additional payment to the 2023 Lenders of a 6.0% fee (the “Exit Fee”), over the principal and accrued PIK interest paid. The aggregate Exit Fee of the 2023 Notes should equal to 6.0% of the total commitment of $45.0 million plus all accrued PIK interest. All remaining outstanding principal balance, accrued interest and Exit Fee on the 2023 Notes shall be due and payable on the maturity date of September 7,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balance of the 2023 Notes was carried at its fair value of $30.1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S-3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3, 2025, we filed a Registration Statement on Form S-3 with the SEC, which was subsequently amended on March 13, 2025 (as amended, the “S-3 Registration Statement”). The S-3 Registration Statement became effective on March 18, 2025. It contains a base prospectus, which covers the offering, issuance and sale of up to $300.0 million in the aggregate of the securities from time to time in one or more offerings.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240" w:after="283"/>
        <w:jc w:val="left"/>
        <w:rPr>
          <w:rFonts w:ascii="Times New Roman" w:hAnsi="Times New Roman"/>
          <w:sz w:val="20"/>
        </w:rPr>
      </w:pPr>
      <w:r>
        <w:rPr>
          <w:rFonts w:ascii="Times New Roman" w:hAnsi="Times New Roman"/>
          <w:color w:val="000000"/>
          <w:sz w:val="20"/>
        </w:rPr>
        <w:t>On March 3, 2025, concurrently with the filing of the S-3 Registration Statement, we entered into a sales agreement with Jefferies LLC as sales agent (the “Sales Agreement”) and filed a prospectus supplement under an at-the-market offering (the “ATM Offering”) covering the offering, issuance and sale by us of up to a maximum aggregate offering price of $100.0 million of our common stock. During the term of the ATM Offering, we issued and sold 4,701,960 shares of our common stock at a weighted average price of $1.53 per share, resulting in net proceeds of approximately $6.8 million, after deducting commissions and offering expenses. On March 23, 2026, we notified Jefferies LLC of our intention to</w:t>
      </w:r>
      <w:r>
        <w:rPr>
          <w:rFonts w:ascii="Times New Roman" w:hAnsi="Times New Roman"/>
          <w:color w:val="0F9ED5"/>
          <w:sz w:val="20"/>
        </w:rPr>
        <w:t xml:space="preserve"> </w:t>
      </w:r>
      <w:r>
        <w:rPr>
          <w:rFonts w:ascii="Times New Roman" w:hAnsi="Times New Roman"/>
          <w:color w:val="000000"/>
          <w:sz w:val="20"/>
        </w:rPr>
        <w:t>terminate the Sales Agreement pursuant to its terms. As a result, the Sales Agreement was terminated effective April 6, 2026 and no further sales will be made thereunder after such date.</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August 2025 Warrants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In connection with our underwritten public offering that closed on August 7, 2025 (the “August 2025 Offering”), we issued warrants to purchase shares of our common stock, including the Tranche A and Tranche B Warrants (collectively the “August 2025 Warrants”). For additional information regarding the August 2025 Offering and the terms of the August 2025 Warrants, refer to Note 1 to the consolidated financial statements included in our Annual Report.</w:t>
      </w:r>
    </w:p>
    <w:p>
      <w:pPr>
        <w:pStyle w:val="TextBody"/>
        <w:bidi w:val="0"/>
        <w:jc w:val="left"/>
        <w:rPr>
          <w:rFonts w:ascii="Times New Roman" w:hAnsi="Times New Roman"/>
          <w:color w:val="000000"/>
          <w:sz w:val="20"/>
        </w:rPr>
      </w:pPr>
      <w:r>
        <w:rPr>
          <w:rFonts w:ascii="Times New Roman" w:hAnsi="Times New Roman"/>
          <w:color w:val="000000"/>
          <w:sz w:val="20"/>
        </w:rPr>
        <w:t>All Tranche A Warrants were exercised or expired by December 31, 2025, and none remained outstanding as of March 31, 2026. No Tranche B Warrants were exercised during the three months ended March 31, 2026. As of March 31, 2026, Tranche B Warrants to purchase 21,147,002 shares of our common stock remained outstanding, each with an exercise price of $1.05 per share, subject to certain adjustments, and expiring on October 3, 2030.</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 and Going Concern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success is dependent on our ability to develop product candidates, generate significant revenue, and upon our ability to attain profitable operations. We are subject to a number of risks similar to other early-stage life science companies, including, but not limited to, successful discovery and development of our product candidates, raising additional capital with favorable terms, development by our competitors of new technological innovations, protection of proprietary technology and market acceptance of our products. The successful discovery and development of product candidates requires substantial capital which may not be available to us on favorable terms or not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our equity and debt financings. We have a history of operating losses and had an accumulated deficit of $547.0 million as of March 31, 2026. Based on our current business plans, we believe that our available cash and cash equivalents of $63.2 million as of March 31, 2026, will be sufficient to fund our operating expenses and capital expenditure requirements into early 2027, through multiple key clinical and regulatory milestones. Our estimate as to how long we expect our existing cash and cash equivalents will be able to continue to fund our operating expenses and capital expenditure requirement is based on assumptions that may prove to be wrong, and we could use our available capital resources sooner than we expect. However, we believe our existing cash resources will not be sufficient to fund our current operating plan for at least twelve months from the issuance date of this Quarterly Report on Form 10-Q. As a result, we have concluded that substantial doubt exists about our ability to continue as a going concern for at least one year after the date that these financial statements are issued. The accompanying unaudited interim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condensed consolidated financial statements in this Quarterly Report on Form 10-Q have been prepared on a going concern basis, which contemplates the realization of assets and satisfaction of liabilities in the ordinary course of business. The unaudited interim condensed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seek additional funds through equity or debt financings or through collaboration or licensing transactions or other sources. We may be unable to obtain equity or debt financings or enter into collaboration or licensing transactions and, if necessary, we will be required to implement cost reduction strategies which could curtail or delay our current operating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product development, and because the extent to which we may enter into collaborations with third 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 and development for our current and future product candidates, including our current and planned Revita clinical studies, and ongoing preclinical development for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securing manufacturing materials for use in preclinical and clinical studies and, for any product candidates for which we receive regulatory approval, use as commercial supply;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seek, establish and maintain a collaboration to develop our product candidate with a collaborator, including the financial terms and any cost-sharing arrangements of any such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for any of our product candidates for which we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and timing of revenue, if any, received from commercial sales of any product candidates for which we receive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and proprietary rights and defending any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may acquire or in-license other products, product candidates, technologies or intellectual property, as well as the terms of any such arrangements;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continuing to expand our operations and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potential product candidates and conducting preclinical testing and clinical studies is a time consuming, expensive and uncertain process that takes years to complete, and we may never generate the necessary data or results required to obtain regulatory approval and achieve product sales in the United States or elsewhere. In addition, our product candidates, if approved, may not achieve commercial success. Accordingly, we will need to obtain substantial additional funds to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expectation with respect to our ability to fund current planned operations is based on estimates that are subject to risks and uncertainties. Our operating plan may change as a result of many factors currently unknown to management and there can be no assurance that the current operating plan will be achieved in the time frame anticipated by us, and we may need to seek additional funds sooner than planned.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Adequate additional funds may not be available to us on acceptable terms, or at all. Market volatility resulting from pandemics, monetary policy changes, or other factors could also adversely impact our ability to access capital as and when needed.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Additional debt financings and convertible preferred equity financing, if available, may involve agreements that include covenants limiting or restricting our ability to take specific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actions, such as incurring additional debt, making capital expenditures or declaring dividends and may require the issuance of additional warrants, which could potentially dilute your ownership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have to significantly delay, reduce or eliminate some or all of our product development or future commercialization efforts, or grant rights to develop and market product candidates that we would otherwise prefer to develop and market ourselves.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information on risks associated with our substantial capital requirements, please see </w:t>
      </w:r>
      <w:r>
        <w:rPr>
          <w:rFonts w:ascii="Times New Roman" w:hAnsi="Times New Roman"/>
          <w:i/>
          <w:color w:val="000000"/>
          <w:sz w:val="20"/>
        </w:rPr>
        <w:t>the section titled “Risk Factors” in our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beyond the proceeds from our prior financings to fund our operations. If we are unable to raise such capital when needed, or on acceptable terms, we may be forced to delay, reduce and/or eliminate one or more of our research and development programs or future commercialization efforts.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w:t>
      </w:r>
    </w:p>
    <w:p>
      <w:pPr>
        <w:pStyle w:val="TextBody"/>
        <w:bidi w:val="0"/>
        <w:jc w:val="left"/>
        <w:rPr/>
      </w:pPr>
      <w:r>
        <w:rPr/>
        <w:t> </w:t>
      </w:r>
    </w:p>
    <w:tbl>
      <w:tblPr>
        <w:tblW w:w="7496" w:type="dxa"/>
        <w:jc w:val="left"/>
        <w:tblInd w:w="0" w:type="dxa"/>
        <w:tblLayout w:type="fixed"/>
        <w:tblCellMar>
          <w:top w:w="28" w:type="dxa"/>
          <w:left w:w="28" w:type="dxa"/>
          <w:bottom w:w="28" w:type="dxa"/>
          <w:right w:w="28" w:type="dxa"/>
        </w:tblCellMar>
      </w:tblPr>
      <w:tblGrid>
        <w:gridCol w:w="4741"/>
        <w:gridCol w:w="146"/>
        <w:gridCol w:w="229"/>
        <w:gridCol w:w="801"/>
        <w:gridCol w:w="180"/>
        <w:gridCol w:w="158"/>
        <w:gridCol w:w="229"/>
        <w:gridCol w:w="801"/>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(18,372</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operating activities of $22.5 million for the three months ended March 31, 2026 was primarily driven by spending on our ongoing clinical studies, Rejuva-related research and clinical readiness activities, professional services related to our corporate and general administrative activities, as well as personnel-related expenses, including salaries, bonuses, and other compensatory benefits. Cash used in operating activities resulted primarily from our net income of $9.2 million adjusted for net non-cash expense of $27.2 million, primarily consisting of a $30.1 million non-cash gain from the change in fair value of warrant liabilities, a $0.5 million non-cash gain from the change in fair value of notes payable, $2.5 million in stock-based compensation expense, $0.4 million non-cash operating lease expense, and $0.3 million depreciation expense. Cash used in operating activities was also impacted by changes in working capital and other assets and liabilities of $4.5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operating activities of $25.1 million for the three months ended March 31, 2025 was primarily driven by spending on our ongoing clinical studies, Rejuva-related research activities, professional services related to our corporate and general administrative activities, as well as personnel-related expenses, including salaries, bonuses, and other compensatory benefits. Cash used in operating activities resulted primarily from our net loss of $23.7 million adjusted for net non-cash expense of $0.6 million, primarily consisting of $1.4 million in stock-based compensation, $0.4 million non-cash operating lease expense and $0.3 million depreciation, offset by $0.8 million non-cash gain from the change in fair value of warrant liabilities and $0.8 million non-cash gain from the change in fair value of notes payable. Cash used in operating activities was also impacted by changes in working capital and other assets and liabilities of $1.9 million.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didn’t have any investing related cashflow activities for the three months ended March 31, 2026. Cash used in investing activities for the three months ended March 31, 2025, was primarily related to the purchase of laboratory and manufacturing equipment.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financing activities of $4.1 million for the three months ended March 31, 2026 was related to proceeds received in January 2025 from Tranche A warrants that were exercised in December 2025. Cash provided by financing activities of $0.2 million for the three months ended March 31, 2025 was primarily driven by the proceeds of $0.3 million from stock option exercises, partially offset by $0.1 million of principal payments made on finance lease obligations.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arrangements that contractually obligate us to make payments that will affect our liquidity and cash flows in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our lease commitments reflect payments due for our operating and finance leases. The operating leases include our corporate office and laboratory space in Burlington, MA that will expire in June 2034. The finance leases represent leases of laboratory equipment used in our Rejuva pre-clinical activities. As of March 31, 2026, our future contractual commitments for our leases were $50.8 million, of which $50.1 million were related to our operating leases. For additional information on our leases and timing of future payments, please see Note 7— “Commitments and Contingencies” to the unaudited condensed consolidated financial statements included in this Quarterly Report on this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entered into contracts in the normal course of business with various third parties for clinical trials, preclinical research studies, manufacturing, and other services and products for operating purposes. These contracts typically do not contain any minimum purchase commitments and provide for termination upon notice. Payments due upon cancellation generally consist only of payments for services provided or expenses incurred, including non-cancellable obligations of our service providers, up to the date of cancellation.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2—“Summary of Significant Accounting Policies” to our unaudited condensed consolidated financial statements included elsewhere in this Quarterly Report on Form 10-Q for more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“emerging growth company” within the meaning of the JOBS Act. Section 107(b) of the JOBS Act provides that an emerging growth company can leverage the extended transition period, provided in Section 102(b) of the JOBS Act, for complying with new or revised accounting standards. Thus, an emerging growth company can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have also elected to rely on other exemptions provided by the JOBS Act, including without limitation, not being required to comply with the auditor attestation requirements of Section 404(b)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would cease to be an emerging growth company on the date that is the earliest of (1) the last day of the fiscal year in which we have total annual gross revenues of $1.235 billion or more; (2) the last day of our fiscal year following the fifth anniversary of the date of the completion of our IPO; (3) the date on which we have issued more than $1.0 billion in non-convertible debt during the previous three years; or (4) the date on which we are deemed to be a large accelerated filer under the rules of the SEC.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3" w:name="quantitative_qualitative"/>
      <w:bookmarkEnd w:id="13"/>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in Item 10(f)(1) of Regulation S-K. As a result, pursuant to Item 305(e) of Regulation S-K, we are not required to provide the information required by this Item 3.</w:t>
      </w:r>
    </w:p>
    <w:p>
      <w:pPr>
        <w:pStyle w:val="TextBody"/>
        <w:bidi w:val="0"/>
        <w:spacing w:before="240" w:after="283"/>
        <w:jc w:val="left"/>
        <w:rPr>
          <w:rFonts w:ascii="Times New Roman" w:hAnsi="Times New Roman"/>
          <w:b/>
          <w:color w:val="000000"/>
          <w:sz w:val="20"/>
        </w:rPr>
      </w:pPr>
      <w:bookmarkStart w:id="14" w:name="controls_procedures"/>
      <w:bookmarkEnd w:id="14"/>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 15(e) and 15d 15(e) under the Exchange Act). Based on that evaluation, our principal executive officer and principal financial officer concluded that, as of March 31, 2026, our disclosure controls and procedures were effective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center"/>
        <w:rPr>
          <w:rFonts w:ascii="Times New Roman" w:hAnsi="Times New Roman"/>
          <w:caps/>
          <w:color w:val="000000"/>
          <w:sz w:val="20"/>
        </w:rPr>
      </w:pPr>
      <w:bookmarkStart w:id="15" w:name="other_information"/>
      <w:bookmarkEnd w:id="15"/>
      <w:r>
        <w:rPr>
          <w:rFonts w:ascii="Times New Roman" w:hAnsi="Times New Roman"/>
          <w:caps/>
          <w:color w:val="000000"/>
          <w:sz w:val="20"/>
        </w:rPr>
        <w:t>PART II—OTHER INFORMATION</w:t>
      </w:r>
    </w:p>
    <w:p>
      <w:pPr>
        <w:pStyle w:val="Heading2"/>
        <w:bidi w:val="0"/>
        <w:spacing w:before="240" w:after="283"/>
        <w:jc w:val="left"/>
        <w:rPr>
          <w:rFonts w:ascii="Times New Roman" w:hAnsi="Times New Roman"/>
          <w:color w:val="000000"/>
          <w:sz w:val="20"/>
        </w:rPr>
      </w:pPr>
      <w:bookmarkStart w:id="16" w:name="legal_proceedings"/>
      <w:bookmarkEnd w:id="16"/>
      <w:r>
        <w:rPr>
          <w:rFonts w:ascii="Times New Roman" w:hAnsi="Times New Roman"/>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subject to any material legal proceedings.</w:t>
      </w:r>
    </w:p>
    <w:p>
      <w:pPr>
        <w:pStyle w:val="Heading2"/>
        <w:bidi w:val="0"/>
        <w:spacing w:before="360" w:after="283"/>
        <w:jc w:val="left"/>
        <w:rPr>
          <w:rFonts w:ascii="Times New Roman" w:hAnsi="Times New Roman"/>
          <w:color w:val="000000"/>
          <w:sz w:val="20"/>
        </w:rPr>
      </w:pPr>
      <w:bookmarkStart w:id="17" w:name="risk_factors"/>
      <w:bookmarkEnd w:id="17"/>
      <w:r>
        <w:rPr>
          <w:rFonts w:ascii="Times New Roman" w:hAnsi="Times New Roman"/>
          <w:color w:val="000000"/>
          <w:sz w:val="20"/>
        </w:rPr>
        <w:t>Item 1A.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to the information set forth in this Quarterly Report on Form 10-Q, including our unaudited condensed consolidated financial statements and related notes appearing elsewhere in this Quarterly Report on Form 10-Q and in Part I, Item 2, Management’s Discussion and Analysis of Financial Condition and Results of Operations, you should carefully consider the risks and uncertainties described in the Annual Report, including the disclosure therein under Part I, Item 1A, “Risk Factors.” Our business, financial condition, results of operations or prospects could be materially and adversely affected if any of these risks occurs. This Quarterly Report on Form 10-Q also contains forward-looking statements that involve risks and uncertainties. See “Forward-Looking Statements.” Our actual results could differ materially and adversely from those anticipated in these forward-looking statements as a result of certain important factors, including those set forth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material changes during the period covered in this Quarterly Report on Form 10-Q to the Risk Factors previously disclosed in Part I, Item 1A of the Annual Report, other than as set forth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failure to meet the continued listing requirements of Nasdaq could result in a delisting of our common stock, which could negatively impact the market price and liquidity of our common stock and our ability to access the capital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maintain this listing, we must satisfy the continued listing requirements and standards of Nasdaq, including a minimum closing bid price requirement for our common stock of $1.00 per share. As previously reported, on March 13, 2026, we received a notification letter from Nasdaq notifying us that, for the last 30 consecutive business days, the closing bid price for our common stock has been below the minimum $1.00 per share required for continued listing on Nasdaq pursuant to Nasdaq Listing Rule 5450(a)(1) (“Rule 5450(a)(1)”). We have 180 calendar days, or until or until September 9, 2026, to regain compliance with Rule 5450(a)(1) by maintaining a closing bid price of at least $1.00 per share for a minimum of 10 consecutive trading days, subject to Nasdaq’s discretion. If we do not regain compliance with Rule 5450(a)(1) by or until September 9, 2026, we may be afforded a second 180 calendar day period to regain compliance, subject to meeting applicable listing standards and written notice of our intention to cure the deficiency during the second compliance period, including by effecting a reverse stock split if necessary.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regain compliance within the applicable cure period, including any available extension, our common stock would be subject to delisting from Nasdaq. A delisting of our common shares could negatively impact us by, among other things, (i) reducing the liquidity and market price of our common shares; (ii) reducing the number of investors willing to hold or acquire our common shares, which could negatively impact our ability to raise equity financing; (iii) decreasing the amount of news and analyst coverage of us; (iv) limiting our ability to issue additional securities or obtain additional financing in the future; (v) limiting our ability to use a registration statement to offer and sell freely tradable securities, thereby preventing us from accessing the public capital markets; and (vi) impairing our ability to provide equity incentives to our employees. In addition, delisting from Nasdaq may negatively impact our reputation and, consequently, our business.</w:t>
      </w:r>
    </w:p>
    <w:p>
      <w:pPr>
        <w:pStyle w:val="TextBody"/>
        <w:bidi w:val="0"/>
        <w:jc w:val="left"/>
        <w:rPr/>
      </w:pPr>
      <w:r>
        <w:rPr/>
        <w:t> </w:t>
      </w:r>
    </w:p>
    <w:p>
      <w:pPr>
        <w:pStyle w:val="Heading2"/>
        <w:bidi w:val="0"/>
        <w:jc w:val="left"/>
        <w:rPr>
          <w:rFonts w:ascii="Times New Roman" w:hAnsi="Times New Roman"/>
          <w:color w:val="000000"/>
          <w:sz w:val="20"/>
        </w:rPr>
      </w:pPr>
      <w:bookmarkStart w:id="18" w:name="unregistered_sales_equity_securities"/>
      <w:bookmarkEnd w:id="18"/>
      <w:r>
        <w:rPr>
          <w:rFonts w:ascii="Times New Roman" w:hAnsi="Times New Roman"/>
          <w:color w:val="000000"/>
          <w:sz w:val="20"/>
        </w:rPr>
        <w:t xml:space="preserve">Item 2. Unregistered Sales of Equity Securities and Use of Proceeds.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240" w:after="283"/>
        <w:jc w:val="left"/>
        <w:rPr>
          <w:rFonts w:ascii="Times New Roman" w:hAnsi="Times New Roman"/>
          <w:sz w:val="20"/>
        </w:rPr>
      </w:pPr>
      <w:r>
        <w:rPr>
          <w:rFonts w:ascii="Times New Roman" w:hAnsi="Times New Roman"/>
          <w:i/>
          <w:color w:val="000000"/>
          <w:sz w:val="20"/>
        </w:rPr>
        <w:t>Exercise of Pre-Funded Warrants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12, 2025, we entered into an exchange agreement with entities affiliated with Nantahala Capital Management (the “Holders”), pursuant to which the Holders agreed to exchange an aggregate of 4,850,000 shares of common stock for pre-funded warrants (the “Exchange Warrants”) to purchase up to 4,850,000 shares of common stock at an exercise price of $0.001 per share (the “Exchange”). The Exchange Warrants were issued without registration under the Securities Act, in reliance on the exemption from registration contained in Section 3(a)(9) of the Securities Act.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to the Exchange, in January 2026 all Exchange Warrants for 4,850,000 shares of our common stock were exercised at an exercise price of $0.001 per share resulting in the issuance of 4,843,179 shares of common stock, with the remaining 6,821 shares withheld to satisfy the aggregate exercise price.</w:t>
      </w:r>
    </w:p>
    <w:p>
      <w:pPr>
        <w:pStyle w:val="TextBody"/>
        <w:bidi w:val="0"/>
        <w:jc w:val="left"/>
        <w:rPr/>
      </w:pPr>
      <w:r>
        <w:rPr/>
        <w:t> </w:t>
      </w:r>
    </w:p>
    <w:p>
      <w:pPr>
        <w:pStyle w:val="Heading2"/>
        <w:bidi w:val="0"/>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Heading2"/>
        <w:bidi w:val="0"/>
        <w:spacing w:before="240" w:after="283"/>
        <w:jc w:val="left"/>
        <w:rPr>
          <w:rFonts w:ascii="Times New Roman" w:hAnsi="Times New Roman"/>
          <w:i/>
          <w:color w:val="000000"/>
          <w:sz w:val="20"/>
        </w:rPr>
      </w:pPr>
      <w:r>
        <w:rPr>
          <w:rFonts w:ascii="Times New Roman" w:hAnsi="Times New Roman"/>
          <w:i/>
          <w:color w:val="000000"/>
          <w:sz w:val="20"/>
        </w:rPr>
        <w:t>Purchases of equity securities by the issuer and affiliated purchasers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Heading2"/>
        <w:bidi w:val="0"/>
        <w:spacing w:before="240" w:after="283"/>
        <w:jc w:val="left"/>
        <w:rPr>
          <w:rFonts w:ascii="Times New Roman" w:hAnsi="Times New Roman"/>
          <w:color w:val="000000"/>
          <w:sz w:val="20"/>
        </w:rPr>
      </w:pPr>
      <w:bookmarkStart w:id="19" w:name="defaults_upon_senior"/>
      <w:bookmarkEnd w:id="19"/>
      <w:r>
        <w:rPr>
          <w:rFonts w:ascii="Times New Roman" w:hAnsi="Times New Roman"/>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Heading2"/>
        <w:bidi w:val="0"/>
        <w:spacing w:before="240" w:after="283"/>
        <w:jc w:val="left"/>
        <w:rPr>
          <w:rFonts w:ascii="Times New Roman" w:hAnsi="Times New Roman"/>
          <w:color w:val="000000"/>
          <w:sz w:val="20"/>
        </w:rPr>
      </w:pPr>
      <w:bookmarkStart w:id="20" w:name="mine_safety_disclosures"/>
      <w:bookmarkEnd w:id="20"/>
      <w:r>
        <w:rPr>
          <w:rFonts w:ascii="Times New Roman" w:hAnsi="Times New Roman"/>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Heading2"/>
        <w:bidi w:val="0"/>
        <w:spacing w:before="240" w:after="283"/>
        <w:jc w:val="left"/>
        <w:rPr>
          <w:rFonts w:ascii="Times New Roman" w:hAnsi="Times New Roman"/>
          <w:color w:val="000000"/>
          <w:sz w:val="20"/>
        </w:rPr>
      </w:pPr>
      <w:bookmarkStart w:id="21" w:name="item_5_other_information"/>
      <w:bookmarkEnd w:id="21"/>
      <w:r>
        <w:rPr>
          <w:rFonts w:ascii="Times New Roman" w:hAnsi="Times New Roman"/>
          <w:color w:val="000000"/>
          <w:sz w:val="20"/>
        </w:rPr>
        <w:t>Item 5. Other Information.</w:t>
      </w:r>
    </w:p>
    <w:p>
      <w:pPr>
        <w:pStyle w:val="TextBody"/>
        <w:bidi w:val="0"/>
        <w:spacing w:before="240" w:after="283"/>
        <w:jc w:val="left"/>
        <w:rPr>
          <w:rFonts w:ascii="Times New Roman" w:hAnsi="Times New Roman"/>
          <w:sz w:val="20"/>
        </w:rPr>
      </w:pPr>
      <w:r>
        <w:rPr>
          <w:rFonts w:ascii="Times New Roman" w:hAnsi="Times New Roman"/>
          <w:b/>
          <w:i/>
          <w:color w:val="000000"/>
          <w:sz w:val="20"/>
        </w:rPr>
        <w:t>(a) Disclosure in lieu of reporting on a Current Report on Form 8-K.</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None.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(b) </w:t>
      </w:r>
      <w:r>
        <w:rPr>
          <w:rFonts w:ascii="Times New Roman" w:hAnsi="Times New Roman"/>
          <w:b/>
          <w:i/>
          <w:color w:val="000000"/>
          <w:sz w:val="20"/>
        </w:rPr>
        <w:t>Material changes to the procedures by which security holders may recommend nominees to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120"/>
        <w:jc w:val="left"/>
        <w:rPr>
          <w:rFonts w:ascii="Times New Roman" w:hAnsi="Times New Roman"/>
          <w:sz w:val="20"/>
        </w:rPr>
      </w:pPr>
      <w:r>
        <w:rPr>
          <w:rFonts w:ascii="Times New Roman" w:hAnsi="Times New Roman"/>
          <w:b/>
          <w:i/>
          <w:color w:val="000000"/>
          <w:sz w:val="20"/>
        </w:rPr>
        <w:t>(c) Insider Trading Arrangements and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no director or officer of the Company adopted or terminated a “Rule 10b5-1 trading arrangement” or “non-Rule 10b5-1 trading arrangement,” as each term is defined in Item 408(a) of Regulation S-K. </w:t>
      </w:r>
    </w:p>
    <w:p>
      <w:pPr>
        <w:pStyle w:val="Heading2"/>
        <w:bidi w:val="0"/>
        <w:spacing w:before="240" w:after="283"/>
        <w:jc w:val="left"/>
        <w:rPr>
          <w:rFonts w:ascii="Times New Roman" w:hAnsi="Times New Roman"/>
          <w:color w:val="000000"/>
          <w:sz w:val="20"/>
        </w:rPr>
      </w:pPr>
      <w:bookmarkStart w:id="22" w:name="exhibit"/>
      <w:bookmarkEnd w:id="22"/>
      <w:r>
        <w:rPr>
          <w:rFonts w:ascii="Times New Roman" w:hAnsi="Times New Roman"/>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5623"/>
        <w:gridCol w:w="511"/>
        <w:gridCol w:w="1111"/>
        <w:gridCol w:w="631"/>
        <w:gridCol w:w="752"/>
        <w:gridCol w:w="871"/>
      </w:tblGrid>
      <w:tr>
        <w:trPr/>
        <w:tc>
          <w:tcPr>
            <w:tcW w:w="706" w:type="dxa"/>
            <w:tcBorders/>
            <w:vAlign w:val="center"/>
          </w:tcPr>
          <w:p>
            <w:pPr>
              <w:pStyle w:val="TableContents"/>
              <w:bidi w:val="0"/>
              <w:spacing w:before="0" w:after="283"/>
              <w:jc w:val="left"/>
              <w:rPr>
                <w:sz w:val="4"/>
                <w:szCs w:val="4"/>
              </w:rPr>
            </w:pPr>
            <w:r>
              <w:rPr>
                <w:sz w:val="4"/>
                <w:szCs w:val="4"/>
              </w:rPr>
            </w:r>
          </w:p>
        </w:tc>
        <w:tc>
          <w:tcPr>
            <w:tcW w:w="562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623" w:type="dxa"/>
            <w:tcBorders/>
            <w:tcMar>
              <w:top w:w="0" w:type="dxa"/>
              <w:left w:w="0" w:type="dxa"/>
              <w:bottom w:w="0" w:type="dxa"/>
              <w:right w:w="0" w:type="dxa"/>
            </w:tcMar>
            <w:vAlign w:val="center"/>
          </w:tcPr>
          <w:p>
            <w:pPr>
              <w:pStyle w:val="TableContents"/>
              <w:bidi w:val="0"/>
              <w:spacing w:before="0" w:after="283"/>
              <w:jc w:val="left"/>
              <w:rPr/>
            </w:pPr>
            <w:r>
              <w:rPr/>
              <w:t> </w:t>
            </w:r>
          </w:p>
        </w:tc>
        <w:tc>
          <w:tcPr>
            <w:tcW w:w="3005"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56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1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5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Furnished</w:t>
              <w:br/>
              <w:t>Herewith</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62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Fractyl Health, Inc.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001-41942</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2/6/2024</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562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Fractyl Health, Inc.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001-41942</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2/6/2024</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62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Stock Certificate evidencing the shares of common stock.</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t>
              <w:noBreakHyphen/>
              <w:t>1</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w:t>
              <w:noBreakHyphen/>
              <w:t>276046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12/14/2023</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562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Fifth Amended and Restated Investors’ Rights Agreement, dated June 9, 2021, by and among Fractyl Health, Inc. and certain of its stockholders.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333-276046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12/14/2023</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62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Employment Letter Agreement, dated December 30, 2025, by and between Fractyl Health, Inc. and Lara Smith Weber.</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001-41942</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1/6/2026</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62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Inducement Award Agreement between Fractyl Health, Inc. and Lara Smith Weber dated January 12, 2026.</w:t>
              </w:r>
            </w:hyperlink>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S-8</w:t>
            </w:r>
          </w:p>
          <w:p>
            <w:pPr>
              <w:pStyle w:val="TableContents"/>
              <w:bidi w:val="0"/>
              <w:spacing w:before="0" w:after="283"/>
              <w:jc w:val="center"/>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333-292715</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99.3</w:t>
            </w:r>
          </w:p>
        </w:tc>
        <w:tc>
          <w:tcPr>
            <w:tcW w:w="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1/13/2026</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
        <w:gridCol w:w="6966"/>
        <w:gridCol w:w="332"/>
        <w:gridCol w:w="801"/>
        <w:gridCol w:w="466"/>
        <w:gridCol w:w="675"/>
        <w:gridCol w:w="306"/>
      </w:tblGrid>
      <w:tr>
        <w:trPr/>
        <w:tc>
          <w:tcPr>
            <w:tcW w:w="659" w:type="dxa"/>
            <w:tcBorders/>
            <w:vAlign w:val="center"/>
          </w:tcPr>
          <w:p>
            <w:pPr>
              <w:pStyle w:val="TableContents"/>
              <w:bidi w:val="0"/>
              <w:spacing w:before="0" w:after="283"/>
              <w:jc w:val="left"/>
              <w:rPr>
                <w:sz w:val="4"/>
                <w:szCs w:val="4"/>
              </w:rPr>
            </w:pPr>
            <w:r>
              <w:rPr>
                <w:sz w:val="4"/>
                <w:szCs w:val="4"/>
              </w:rPr>
            </w:r>
          </w:p>
        </w:tc>
        <w:tc>
          <w:tcPr>
            <w:tcW w:w="69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6966"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Separation Agreement and Release, dated December 31, 2025, by and between Fractyl Health, Inc. and Lisa Davidson.</w:t>
              </w:r>
            </w:hyperlink>
          </w:p>
        </w:tc>
        <w:tc>
          <w:tcPr>
            <w:tcW w:w="3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001-41942</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6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1/6/2026</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96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Consulting Agreement, dated January 1, 2026, by and between Fractyl Health, Inc. and Lisa Davidson.</w:t>
              </w:r>
            </w:hyperlink>
          </w:p>
        </w:tc>
        <w:tc>
          <w:tcPr>
            <w:tcW w:w="3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001-41942</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6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1/6/2026</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6966" w:type="dxa"/>
            <w:tcBorders/>
            <w:tcMar>
              <w:top w:w="0" w:type="dxa"/>
              <w:left w:w="0" w:type="dxa"/>
              <w:bottom w:w="0" w:type="dxa"/>
              <w:right w:w="0" w:type="dxa"/>
            </w:tcMar>
            <w:vAlign w:val="center"/>
          </w:tcPr>
          <w:p>
            <w:pPr>
              <w:pStyle w:val="TableContents"/>
              <w:bidi w:val="0"/>
              <w:spacing w:before="0" w:after="283"/>
              <w:jc w:val="left"/>
              <w:rPr/>
            </w:pPr>
            <w:hyperlink w:anchor="guts-ex31_1.htm">
              <w:r>
                <w:rPr>
                  <w:rStyle w:val="InternetLink"/>
                  <w:rFonts w:ascii="Times New Roman" w:hAnsi="Times New Roman"/>
                  <w:color w:val="0000FF"/>
                  <w:sz w:val="20"/>
                  <w:u w:val="single"/>
                </w:rPr>
                <w:t>Rule 13a-14(a)/15d-14(a) Certification of Chief Executive Officer</w:t>
              </w:r>
            </w:hyperlink>
          </w:p>
        </w:tc>
        <w:tc>
          <w:tcPr>
            <w:tcW w:w="332"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6966" w:type="dxa"/>
            <w:tcBorders/>
            <w:tcMar>
              <w:top w:w="0" w:type="dxa"/>
              <w:left w:w="0" w:type="dxa"/>
              <w:bottom w:w="0" w:type="dxa"/>
              <w:right w:w="0" w:type="dxa"/>
            </w:tcMar>
            <w:vAlign w:val="center"/>
          </w:tcPr>
          <w:p>
            <w:pPr>
              <w:pStyle w:val="TableContents"/>
              <w:bidi w:val="0"/>
              <w:spacing w:before="0" w:after="283"/>
              <w:jc w:val="left"/>
              <w:rPr/>
            </w:pPr>
            <w:hyperlink w:anchor="guts-ex31_2.htm">
              <w:r>
                <w:rPr>
                  <w:rStyle w:val="InternetLink"/>
                  <w:rFonts w:ascii="Times New Roman" w:hAnsi="Times New Roman"/>
                  <w:color w:val="0000FF"/>
                  <w:sz w:val="20"/>
                  <w:u w:val="single"/>
                </w:rPr>
                <w:t>Rule 13a-14(a)/15d-14(a) Certification of Chief Financial Officer</w:t>
              </w:r>
            </w:hyperlink>
          </w:p>
        </w:tc>
        <w:tc>
          <w:tcPr>
            <w:tcW w:w="332"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6966" w:type="dxa"/>
            <w:tcBorders/>
            <w:tcMar>
              <w:top w:w="0" w:type="dxa"/>
              <w:left w:w="0" w:type="dxa"/>
              <w:bottom w:w="0" w:type="dxa"/>
              <w:right w:w="0" w:type="dxa"/>
            </w:tcMar>
            <w:vAlign w:val="center"/>
          </w:tcPr>
          <w:p>
            <w:pPr>
              <w:pStyle w:val="TableContents"/>
              <w:bidi w:val="0"/>
              <w:spacing w:before="0" w:after="283"/>
              <w:jc w:val="left"/>
              <w:rPr/>
            </w:pPr>
            <w:hyperlink w:anchor="guts-ex32_1.htm">
              <w:r>
                <w:rPr>
                  <w:rStyle w:val="InternetLink"/>
                  <w:rFonts w:ascii="Times New Roman" w:hAnsi="Times New Roman"/>
                  <w:color w:val="0000FF"/>
                  <w:sz w:val="20"/>
                  <w:u w:val="single"/>
                </w:rPr>
                <w:t>Section 1350 Certification of Chief Executive Officer</w:t>
              </w:r>
            </w:hyperlink>
          </w:p>
        </w:tc>
        <w:tc>
          <w:tcPr>
            <w:tcW w:w="332"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6966" w:type="dxa"/>
            <w:tcBorders/>
            <w:tcMar>
              <w:top w:w="0" w:type="dxa"/>
              <w:left w:w="0" w:type="dxa"/>
              <w:bottom w:w="0" w:type="dxa"/>
              <w:right w:w="0" w:type="dxa"/>
            </w:tcMar>
            <w:vAlign w:val="center"/>
          </w:tcPr>
          <w:p>
            <w:pPr>
              <w:pStyle w:val="TableContents"/>
              <w:bidi w:val="0"/>
              <w:spacing w:before="0" w:after="283"/>
              <w:jc w:val="left"/>
              <w:rPr/>
            </w:pPr>
            <w:hyperlink w:anchor="guts-ex32_2.htm">
              <w:r>
                <w:rPr>
                  <w:rStyle w:val="InternetLink"/>
                  <w:rFonts w:ascii="Times New Roman" w:hAnsi="Times New Roman"/>
                  <w:color w:val="0000FF"/>
                  <w:sz w:val="20"/>
                  <w:u w:val="single"/>
                </w:rPr>
                <w:t>Section 1350 Certification of Chief Financial Officer</w:t>
              </w:r>
            </w:hyperlink>
          </w:p>
        </w:tc>
        <w:tc>
          <w:tcPr>
            <w:tcW w:w="332"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6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6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 Indicates a management contract or compensatory plan or arrangement.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 w:hAnsi="Times New Roman"/>
          <w:b/>
          <w:color w:val="000000"/>
          <w:sz w:val="20"/>
        </w:rPr>
        <w:t>.</w:t>
      </w:r>
    </w:p>
    <w:p>
      <w:pPr>
        <w:pStyle w:val="TextBody"/>
        <w:bidi w:val="0"/>
        <w:spacing w:before="40" w:after="283"/>
        <w:jc w:val="left"/>
        <w:rPr/>
      </w:pPr>
      <w:r>
        <w:rPr/>
        <w:t> </w:t>
      </w:r>
    </w:p>
    <w:p>
      <w:pPr>
        <w:pStyle w:val="TextBody"/>
        <w:bidi w:val="0"/>
        <w:spacing w:before="40" w:after="283"/>
        <w:jc w:val="left"/>
        <w:rPr/>
      </w:pPr>
      <w:r>
        <w:rPr/>
        <w:t> </w:t>
      </w:r>
    </w:p>
    <w:tbl>
      <w:tblPr>
        <w:tblW w:w="7439" w:type="dxa"/>
        <w:jc w:val="left"/>
        <w:tblInd w:w="0" w:type="dxa"/>
        <w:tblLayout w:type="fixed"/>
        <w:tblCellMar>
          <w:top w:w="28" w:type="dxa"/>
          <w:left w:w="28" w:type="dxa"/>
          <w:bottom w:w="28" w:type="dxa"/>
          <w:right w:w="28" w:type="dxa"/>
        </w:tblCellMar>
      </w:tblPr>
      <w:tblGrid>
        <w:gridCol w:w="1741"/>
        <w:gridCol w:w="146"/>
        <w:gridCol w:w="406"/>
        <w:gridCol w:w="514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Fractyl Health,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Harith Rajagopalan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Harith Rajagopalan, M.D.,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Co-Founder, Chief Executive Officer and Director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Lara Smith Weber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Lara Smith Weber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Treasurer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guts-ex31_1.htm"/>
      <w:bookmarkStart w:id="25" w:name="ksgutsex31_1"/>
      <w:bookmarkEnd w:id="24"/>
      <w:bookmarkEnd w:id="25"/>
      <w:r>
        <w:rPr>
          <w:rFonts w:ascii="Times New Roman" w:hAnsi="Times New Roman"/>
          <w:b/>
          <w:color w:val="000000"/>
          <w:sz w:val="20"/>
        </w:rPr>
        <w:t>Exhibit 31.1</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Harith Rajagopalan,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Fractyl Health,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42" w:type="dxa"/>
        <w:jc w:val="left"/>
        <w:tblInd w:w="0" w:type="dxa"/>
        <w:tblLayout w:type="fixed"/>
        <w:tblCellMar>
          <w:top w:w="28" w:type="dxa"/>
          <w:left w:w="28" w:type="dxa"/>
          <w:bottom w:w="28" w:type="dxa"/>
          <w:right w:w="28" w:type="dxa"/>
        </w:tblCellMar>
      </w:tblPr>
      <w:tblGrid>
        <w:gridCol w:w="1741"/>
        <w:gridCol w:w="109"/>
        <w:gridCol w:w="406"/>
        <w:gridCol w:w="418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Harith Rajagopalan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Harith Rajagopalan, M.D.,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Co-Founder, Chief Executive Officer and Director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guts-ex31_2.htm"/>
      <w:bookmarkStart w:id="27" w:name="ksgutsex31_2"/>
      <w:bookmarkEnd w:id="26"/>
      <w:bookmarkEnd w:id="27"/>
      <w:r>
        <w:rPr>
          <w:rFonts w:ascii="Times New Roman" w:hAnsi="Times New Roman"/>
          <w:b/>
          <w:color w:val="000000"/>
          <w:sz w:val="20"/>
        </w:rPr>
        <w:t>Exhibit 31.2</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Lara Smith Weber,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Fractyl Health,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402" w:type="dxa"/>
        <w:jc w:val="left"/>
        <w:tblInd w:w="0" w:type="dxa"/>
        <w:tblLayout w:type="fixed"/>
        <w:tblCellMar>
          <w:top w:w="28" w:type="dxa"/>
          <w:left w:w="28" w:type="dxa"/>
          <w:bottom w:w="28" w:type="dxa"/>
          <w:right w:w="28" w:type="dxa"/>
        </w:tblCellMar>
      </w:tblPr>
      <w:tblGrid>
        <w:gridCol w:w="1741"/>
        <w:gridCol w:w="109"/>
        <w:gridCol w:w="406"/>
        <w:gridCol w:w="514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Lara Smith Weber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Lara Smith Weber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Treasurer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guts-ex32_1.htm"/>
      <w:bookmarkStart w:id="29" w:name="ksgutsex32_1"/>
      <w:bookmarkEnd w:id="28"/>
      <w:bookmarkEnd w:id="29"/>
      <w:r>
        <w:rPr>
          <w:rFonts w:ascii="Times New Roman" w:hAnsi="Times New Roman"/>
          <w:b/>
          <w:color w:val="000000"/>
          <w:sz w:val="20"/>
        </w:rPr>
        <w:t>Exhibit 32.1</w:t>
      </w:r>
      <w:r>
        <w:br w:type="page"/>
      </w:r>
    </w:p>
    <w:p>
      <w:pPr>
        <w:pStyle w:val="TextBody"/>
        <w:bidi w:val="0"/>
        <w:spacing w:before="0" w:after="12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PURSUANT TO</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SECTION 906 OF THE SARBANES</w:t>
        <w:noBreakHyphen/>
        <w:t>OXLEY ACT OF 2002</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Harith Rajagopalan, Chief Executive Officer of Fractyl Health, Inc. (the “Company”), hereby certifies that, to the best of his knowledge: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Quarterly Report on Form 10-Q for the period ended March 31, 2026, to which this Certification is attached as Exhibit 32.1 (the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442" w:type="dxa"/>
        <w:jc w:val="left"/>
        <w:tblInd w:w="0" w:type="dxa"/>
        <w:tblLayout w:type="fixed"/>
        <w:tblCellMar>
          <w:top w:w="28" w:type="dxa"/>
          <w:left w:w="28" w:type="dxa"/>
          <w:bottom w:w="28" w:type="dxa"/>
          <w:right w:w="28" w:type="dxa"/>
        </w:tblCellMar>
      </w:tblPr>
      <w:tblGrid>
        <w:gridCol w:w="1741"/>
        <w:gridCol w:w="109"/>
        <w:gridCol w:w="406"/>
        <w:gridCol w:w="418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Harith Rajagopalan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Harith Rajagopalan, M.D.,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Co-Founder, Chief Executive Officer and Director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guts-ex32_2.htm"/>
      <w:bookmarkStart w:id="31" w:name="ksgutsex32_2"/>
      <w:bookmarkEnd w:id="30"/>
      <w:bookmarkEnd w:id="31"/>
      <w:r>
        <w:rPr>
          <w:rFonts w:ascii="Times New Roman" w:hAnsi="Times New Roman"/>
          <w:b/>
          <w:color w:val="000000"/>
          <w:sz w:val="20"/>
        </w:rPr>
        <w:t>Exhibit 32.2</w:t>
      </w:r>
      <w:r>
        <w:br w:type="page"/>
      </w:r>
    </w:p>
    <w:p>
      <w:pPr>
        <w:pStyle w:val="TextBody"/>
        <w:bidi w:val="0"/>
        <w:spacing w:before="0" w:after="24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PURSUANT TO</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SECTION 906 OF THE SARBANES</w:t>
        <w:noBreakHyphen/>
        <w:t>OXLEY ACT OF 2002</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Lara Smith Weber, Chief Financial Officer and Treasurer of Fractyl Health, Inc. (the “Company”), hereby certifies that, to the best of her knowledge: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Quarterly Report on Form 10-Q for the period ended March 31, 2026, to which this Certification is attached as Exhibit 32.2 (the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402" w:type="dxa"/>
        <w:jc w:val="left"/>
        <w:tblInd w:w="0" w:type="dxa"/>
        <w:tblLayout w:type="fixed"/>
        <w:tblCellMar>
          <w:top w:w="28" w:type="dxa"/>
          <w:left w:w="28" w:type="dxa"/>
          <w:bottom w:w="28" w:type="dxa"/>
          <w:right w:w="28" w:type="dxa"/>
        </w:tblCellMar>
      </w:tblPr>
      <w:tblGrid>
        <w:gridCol w:w="1741"/>
        <w:gridCol w:w="109"/>
        <w:gridCol w:w="406"/>
        <w:gridCol w:w="514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Lara Smith Weber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Lara Smith Weber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Treasurer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2616/000119312524025262/d732680dex31.htm" TargetMode="External"/><Relationship Id="rId3" Type="http://schemas.openxmlformats.org/officeDocument/2006/relationships/hyperlink" Target="https://www.sec.gov/Archives/edgar/data/1572616/000119312524025262/d732680dex32.htm" TargetMode="External"/><Relationship Id="rId4" Type="http://schemas.openxmlformats.org/officeDocument/2006/relationships/hyperlink" Target="https://www.sec.gov/Archives/edgar/data/1572616/000119312523295433/d519724dex41.htm" TargetMode="External"/><Relationship Id="rId5" Type="http://schemas.openxmlformats.org/officeDocument/2006/relationships/hyperlink" Target="https://www.sec.gov/Archives/edgar/data/1572616/000119312523295433/d519724dex42.htm" TargetMode="External"/><Relationship Id="rId6" Type="http://schemas.openxmlformats.org/officeDocument/2006/relationships/hyperlink" Target="https://www.sec.gov/Archives/edgar/data/1572616/000119312526003452/guts-ex10_1.htm" TargetMode="External"/><Relationship Id="rId7" Type="http://schemas.openxmlformats.org/officeDocument/2006/relationships/hyperlink" Target="https://www.sec.gov/Archives/edgar/data/1572616/000119312526011901/guts-ex99_3.htm" TargetMode="External"/><Relationship Id="rId8" Type="http://schemas.openxmlformats.org/officeDocument/2006/relationships/hyperlink" Target="https://www.sec.gov/Archives/edgar/data/1572616/000119312526003452/guts-ex10_2.htm" TargetMode="External"/><Relationship Id="rId9" Type="http://schemas.openxmlformats.org/officeDocument/2006/relationships/hyperlink" Target="https://www.sec.gov/Archives/edgar/data/1572616/000119312526003452/guts-ex10_3.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17870</Words>
  <Characters>98996</Characters>
  <CharactersWithSpaces>116821</CharactersWithSpaces>
  <Paragraphs>2784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