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120"/>
        <w:jc w:val="left"/>
        <w:rPr/>
      </w:pPr>
      <w:hyperlink w:anchor="table_of_contents">
        <w:bookmarkStart w:id="0" w:name="guts-20260824.htm"/>
        <w:bookmarkStart w:id="1" w:name="ksguts20260824"/>
        <w:bookmarkEnd w:id="0"/>
        <w:bookmarkEnd w:id="1"/>
        <w:r>
          <w:rPr>
            <w:rStyle w:val="InternetLink"/>
            <w:rFonts w:ascii="Times New Roman" w:hAnsi="Times New Roman"/>
            <w:b/>
            <w:smallCaps/>
            <w:color w:val="0000FF"/>
            <w:sz w:val="16"/>
            <w:u w:val="single"/>
          </w:rPr>
          <w:t>TABLE OF CONTENTS</w:t>
        </w:r>
      </w:hyperlink>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SCHEDULE 14A</w:t>
      </w:r>
    </w:p>
    <w:p>
      <w:pPr>
        <w:pStyle w:val="TextBody"/>
        <w:bidi w:val="0"/>
        <w:spacing w:before="200" w:after="283"/>
        <w:jc w:val="center"/>
        <w:rPr>
          <w:rFonts w:ascii="Times New Roman" w:hAnsi="Times New Roman"/>
          <w:sz w:val="20"/>
        </w:rPr>
      </w:pPr>
      <w:r>
        <w:rPr>
          <w:rFonts w:ascii="Times New Roman" w:hAnsi="Times New Roman"/>
          <w:b/>
          <w:color w:val="000000"/>
          <w:sz w:val="20"/>
        </w:rPr>
        <w:t>INFORMATION REQUIRED IN PROXY STATEMENT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SCHEDULE 14A INFORMATION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Proxy Statement Pursuant to Section 14(a) of</w:t>
      </w:r>
    </w:p>
    <w:p>
      <w:pPr>
        <w:pStyle w:val="TextBody"/>
        <w:bidi w:val="0"/>
        <w:jc w:val="center"/>
        <w:rPr>
          <w:rFonts w:ascii="Times New Roman" w:hAnsi="Times New Roman"/>
          <w:sz w:val="20"/>
        </w:rPr>
      </w:pPr>
      <w:r>
        <w:rPr>
          <w:rFonts w:ascii="Times New Roman" w:hAnsi="Times New Roman"/>
          <w:b/>
          <w:color w:val="000000"/>
          <w:sz w:val="20"/>
        </w:rPr>
        <w:t>the Securities Exchange Act of 1934 (Amendment No.  )</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 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376"/>
        <w:gridCol w:w="6706"/>
      </w:tblGrid>
      <w:tr>
        <w:trPr/>
        <w:tc>
          <w:tcPr>
            <w:tcW w:w="37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Confidential, for Use of the Commission Only (as permitted by Rule 14a-6(e)(2))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under §240.14a-12 </w:t>
            </w:r>
          </w:p>
        </w:tc>
      </w:tr>
    </w:tbl>
    <w:p>
      <w:pPr>
        <w:pStyle w:val="TextBody"/>
        <w:bidi w:val="0"/>
        <w:spacing w:before="240" w:after="283"/>
        <w:jc w:val="center"/>
        <w:rPr/>
      </w:pPr>
      <w:r>
        <w:rPr/>
        <w:t> </w:t>
      </w:r>
    </w:p>
    <w:p>
      <w:pPr>
        <w:pStyle w:val="TextBody"/>
        <w:bidi w:val="0"/>
        <w:spacing w:before="200" w:after="283"/>
        <w:jc w:val="center"/>
        <w:rPr/>
      </w:pPr>
      <w:r>
        <w:rPr/>
        <w:drawing>
          <wp:inline distT="0" distB="0" distL="0" distR="0">
            <wp:extent cx="38671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67150" cy="1104900"/>
                    </a:xfrm>
                    <a:prstGeom prst="rect">
                      <a:avLst/>
                    </a:prstGeom>
                  </pic:spPr>
                </pic:pic>
              </a:graphicData>
            </a:graphic>
          </wp:inline>
        </w:drawing>
      </w:r>
    </w:p>
    <w:p>
      <w:pPr>
        <w:pStyle w:val="TextBody"/>
        <w:bidi w:val="0"/>
        <w:jc w:val="left"/>
        <w:rPr>
          <w:color w:val="000000"/>
        </w:rPr>
      </w:pPr>
      <w:r>
        <w:rPr>
          <w:color w:val="000000"/>
        </w:rPr>
        <w:t> </w:t>
      </w:r>
    </w:p>
    <w:p>
      <w:pPr>
        <w:pStyle w:val="TextBody"/>
        <w:bidi w:val="0"/>
        <w:spacing w:before="360" w:after="283"/>
        <w:jc w:val="center"/>
        <w:rPr>
          <w:rFonts w:ascii="Times New Roman" w:hAnsi="Times New Roman"/>
          <w:sz w:val="20"/>
        </w:rPr>
      </w:pPr>
      <w:r>
        <w:rPr>
          <w:rFonts w:ascii="Times New Roman" w:hAnsi="Times New Roman"/>
          <w:b/>
          <w:color w:val="000000"/>
          <w:sz w:val="36"/>
        </w:rPr>
        <w:t>Fractyl Health,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(Name of Registrant as Specified In Its Charter)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(Name of Person(s) Filing Proxy Statement, if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376"/>
        <w:gridCol w:w="8461"/>
      </w:tblGrid>
      <w:tr>
        <w:trPr/>
        <w:tc>
          <w:tcPr>
            <w:tcW w:w="37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FRACTYL HEALTH, INC.</w:t>
      </w:r>
      <w:r>
        <w:rPr>
          <w:rFonts w:ascii="Times New Roman" w:hAnsi="Times New Roman"/>
          <w:color w:val="000000"/>
          <w:sz w:val="20"/>
        </w:rPr>
        <w:t xml:space="preserve"> </w:t>
      </w:r>
    </w:p>
    <w:p>
      <w:pPr>
        <w:pStyle w:val="TextBody"/>
        <w:bidi w:val="0"/>
        <w:spacing w:before="720" w:after="283"/>
        <w:jc w:val="center"/>
        <w:rPr>
          <w:rFonts w:ascii="Times New Roman" w:hAnsi="Times New Roman"/>
          <w:b/>
          <w:color w:val="000000"/>
          <w:sz w:val="32"/>
        </w:rPr>
      </w:pPr>
      <w:bookmarkStart w:id="2" w:name="notice_proxy_statement"/>
      <w:bookmarkEnd w:id="2"/>
      <w:r>
        <w:rPr>
          <w:rFonts w:ascii="Times New Roman" w:hAnsi="Times New Roman"/>
          <w:b/>
          <w:color w:val="000000"/>
          <w:sz w:val="32"/>
        </w:rPr>
        <w:t>NOTICE &amp; PROXY STATEMENT</w:t>
      </w:r>
    </w:p>
    <w:p>
      <w:pPr>
        <w:pStyle w:val="TextBody"/>
        <w:bidi w:val="0"/>
        <w:jc w:val="center"/>
        <w:rPr>
          <w:rFonts w:ascii="Times New Roman" w:hAnsi="Times New Roman"/>
          <w:sz w:val="20"/>
        </w:rPr>
      </w:pPr>
      <w:r>
        <w:rPr>
          <w:rFonts w:ascii="Times New Roman" w:hAnsi="Times New Roman"/>
          <w:b/>
          <w:color w:val="000000"/>
          <w:sz w:val="22"/>
        </w:rPr>
        <w:t>Special Meeting of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September 24, 2026</w:t>
      </w:r>
    </w:p>
    <w:p>
      <w:pPr>
        <w:pStyle w:val="TextBody"/>
        <w:bidi w:val="0"/>
        <w:jc w:val="center"/>
        <w:rPr>
          <w:rFonts w:ascii="Times New Roman" w:hAnsi="Times New Roman"/>
          <w:color w:val="000000"/>
          <w:sz w:val="20"/>
        </w:rPr>
      </w:pPr>
      <w:r>
        <w:rPr>
          <w:rFonts w:ascii="Times New Roman" w:hAnsi="Times New Roman"/>
          <w:color w:val="000000"/>
          <w:sz w:val="20"/>
        </w:rPr>
        <w:t xml:space="preserve">12:00 p.m. Eastern Time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 Van de Graaff Drive, Suite 200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Burlington, Massachusetts 01803</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67150" cy="1104900"/>
                    </a:xfrm>
                    <a:prstGeom prst="rect">
                      <a:avLst/>
                    </a:prstGeom>
                  </pic:spPr>
                </pic:pic>
              </a:graphicData>
            </a:graphic>
          </wp:inline>
        </w:drawing>
      </w:r>
    </w:p>
    <w:p>
      <w:pPr>
        <w:pStyle w:val="TextBody"/>
        <w:bidi w:val="0"/>
        <w:spacing w:before="480" w:after="283"/>
        <w:jc w:val="center"/>
        <w:rPr>
          <w:rFonts w:ascii="Times New Roman" w:hAnsi="Times New Roman"/>
          <w:sz w:val="20"/>
        </w:rPr>
      </w:pPr>
      <w:r>
        <w:rPr>
          <w:rFonts w:ascii="Times New Roman" w:hAnsi="Times New Roman"/>
          <w:b/>
          <w:color w:val="FC0838"/>
          <w:sz w:val="20"/>
        </w:rPr>
        <w:t>MESSAGE TO OUR STOCKHOLDERS</w:t>
      </w:r>
      <w:r>
        <w:rPr>
          <w:rFonts w:ascii="Times New Roman" w:hAnsi="Times New Roman"/>
          <w:color w:val="FC0838"/>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August 24,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You are cordially invited to attend the Special Meeting of Stockholders (the “Special Meeting”) of Fractyl Health, Inc. (the “Company”) to be held on Thursday, September 24, 2026, at 12:00 p.m. Eastern Time. Our Special Meeting will be a completely virtual meeting of stockholders that will be conducted via live webcast. You will be able to attend the virtual Special Meeting, vote your shares electronically and submit your questions during the meeting by visiting www.virtualshareholdermeeting.com/GUTS2026SM. This virtual meeting format will allow stockholders to participate from any location and we expect will enable increased attendance, improved communications and cost savings for our stockholders and the Company compared to an in person meeting.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Notice of Special Meeting and Proxy Statement on the following pages describe the matters to be presented at the Special Meeting. Details regarding how to attend the meeting and the business to be conducted at the Special Meeting are more fully described in the Notice of Special Meeting and Proxy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Instructions regarding how you can vote are contained on the proxy card.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appreciate your interest in and support of Fractyl Health and look forward to your participation at the Special Meeting.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pPr>
      <w:r>
        <w:rPr/>
        <w:drawing>
          <wp:inline distT="0" distB="0" distL="0" distR="0">
            <wp:extent cx="267652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76525" cy="4381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Harith Rajagopalan, M.D., Ph.D. </w:t>
      </w:r>
    </w:p>
    <w:p>
      <w:pPr>
        <w:pStyle w:val="TextBody"/>
        <w:bidi w:val="0"/>
        <w:jc w:val="both"/>
        <w:rPr>
          <w:rFonts w:ascii="Times New Roman" w:hAnsi="Times New Roman"/>
          <w:color w:val="000000"/>
          <w:sz w:val="20"/>
        </w:rPr>
      </w:pPr>
      <w:r>
        <w:rPr>
          <w:rFonts w:ascii="Times New Roman" w:hAnsi="Times New Roman"/>
          <w:color w:val="000000"/>
          <w:sz w:val="20"/>
        </w:rPr>
        <w:t xml:space="preserve">Co-Founder, Chief Executive Officer and Director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67150" cy="1104900"/>
                    </a:xfrm>
                    <a:prstGeom prst="rect">
                      <a:avLst/>
                    </a:prstGeom>
                  </pic:spPr>
                </pic:pic>
              </a:graphicData>
            </a:graphic>
          </wp:inline>
        </w:drawing>
      </w:r>
    </w:p>
    <w:p>
      <w:pPr>
        <w:pStyle w:val="TextBody"/>
        <w:bidi w:val="0"/>
        <w:spacing w:before="480" w:after="283"/>
        <w:jc w:val="center"/>
        <w:rPr>
          <w:rFonts w:ascii="Times New Roman" w:hAnsi="Times New Roman"/>
          <w:sz w:val="20"/>
        </w:rPr>
      </w:pPr>
      <w:r>
        <w:rPr>
          <w:rFonts w:ascii="Times New Roman" w:hAnsi="Times New Roman"/>
          <w:b/>
          <w:color w:val="FC0838"/>
          <w:sz w:val="20"/>
        </w:rPr>
        <w:t>NOTICE OF SPECIAL MEETING OF STOCKHOLDERS</w:t>
      </w:r>
      <w:r>
        <w:rPr>
          <w:rFonts w:ascii="Times New Roman" w:hAnsi="Times New Roman"/>
          <w:color w:val="FC0838"/>
          <w:sz w:val="20"/>
        </w:rPr>
        <w:t xml:space="preserve"> </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 xml:space="preserve">Dear Fellow Stockholder: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Special Meeting of Stockholders (the “Special Meeting”) of Fractyl Health, Inc., a Delaware corporation (the “Company,” “Fractyl Health,” “we” or “us”), will be held on Thursday, September 24, 2026, at 12:00 p.m. Eastern Time. The Special Meeting will be a completely virtual meeting, which will be conducted via live webcast. You will be able to attend the Special Meeting online by visiting www.virtualshareholdermeeting.com/GUTS2026SM and entering your 16-digit control number included on your proxy card.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Special Meeting will be held for the following purposes: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146"/>
        <w:gridCol w:w="146"/>
        <w:gridCol w:w="9496"/>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949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r>
      <w:tr>
        <w:trPr/>
        <w:tc>
          <w:tcPr>
            <w:tcW w:w="226" w:type="dxa"/>
            <w:tcBorders/>
            <w:shd w:fill="EBF0F0"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9496" w:type="dxa"/>
            <w:tcBorders/>
            <w:shd w:fill="EBF0F0"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approve a series of alternate amendments to the Company’s Amended and Restated Certificate of Incorporation to effect, at the option of the Company’s Board of Directors, a reverse stock split of our common stock at a ratio in the range of 1-for-5 to 1-for-15, inclusive, with such ratio to be determined by the Company’s Board of Directors in its sole discretion. We refer to this proposal as the “Reverse Stock Split Proposal” or “Proposal No. 1”.</w:t>
            </w:r>
          </w:p>
        </w:tc>
        <w:tc>
          <w:tcPr>
            <w:tcW w:w="191"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shd w:fill="EBF0F0"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9496" w:type="dxa"/>
            <w:tcBorders/>
            <w:shd w:fill="EBF0F0"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Such other business as may properly come before the Special Meeting or any continuation, postponement, or adjournment of the Special Meeting.</w:t>
            </w:r>
          </w:p>
        </w:tc>
        <w:tc>
          <w:tcPr>
            <w:tcW w:w="191"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949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Only holders of record of our outstanding shares of common stock at the close of business on August 21, 2026, (the “Record Date”), are entitled to notice of and to vote at the Special Meeting, or any continuation, postponement or adjournment of the Special Meeting. A complete list of these stockholders will be available for examination by any stockholder during the ten days prior to the Special Meeting for a purpose germane to the meeting during ordinary business hours at the Company’s principal executive office. The Special Meeting may be continued or adjourned from time to time without notice other than by announcement at the Special Meeting.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9853"/>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shd w:fill="EBF0F0" w:val="clear"/>
            <w:tcMar>
              <w:bottom w:w="0" w:type="dxa"/>
              <w:right w:w="0" w:type="dxa"/>
            </w:tcMar>
            <w:vAlign w:val="center"/>
          </w:tcPr>
          <w:p>
            <w:pPr>
              <w:pStyle w:val="TableContents"/>
              <w:bidi w:val="0"/>
              <w:spacing w:before="120" w:after="283"/>
              <w:jc w:val="left"/>
              <w:rPr/>
            </w:pPr>
            <w:r>
              <w:rPr/>
              <w:t> </w:t>
            </w:r>
          </w:p>
        </w:tc>
        <w:tc>
          <w:tcPr>
            <w:tcW w:w="9853" w:type="dxa"/>
            <w:tcBorders>
              <w:top w:val="single" w:sz="8" w:space="0" w:color="000000"/>
            </w:tcBorders>
            <w:shd w:fill="EBF0F0" w:val="clear"/>
            <w:tcMar>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YOUR VOTE IS IMPORTANT: Important Information for Holders of our Common Stock</w:t>
            </w:r>
            <w:r>
              <w:rPr>
                <w:rFonts w:ascii="Times New Roman" w:hAnsi="Times New Roman"/>
                <w:color w:val="000000"/>
                <w:sz w:val="20"/>
              </w:rPr>
              <w:t xml:space="preserve"> </w:t>
            </w:r>
          </w:p>
        </w:tc>
        <w:tc>
          <w:tcPr>
            <w:tcW w:w="191" w:type="dxa"/>
            <w:tcBorders>
              <w:top w:val="single" w:sz="8" w:space="0" w:color="000000"/>
              <w:right w:val="single" w:sz="8" w:space="0" w:color="000000"/>
            </w:tcBorders>
            <w:shd w:fill="EBF0F0" w:val="clear"/>
            <w:tcMar>
              <w:left w:w="0" w:type="dxa"/>
              <w:bottom w:w="0" w:type="dxa"/>
            </w:tcMar>
            <w:vAlign w:val="center"/>
          </w:tcPr>
          <w:p>
            <w:pPr>
              <w:pStyle w:val="TableContents"/>
              <w:bidi w:val="0"/>
              <w:spacing w:before="120" w:after="283"/>
              <w:jc w:val="left"/>
              <w:rPr/>
            </w:pPr>
            <w:r>
              <w:rPr/>
              <w:t> </w:t>
            </w:r>
          </w:p>
        </w:tc>
      </w:tr>
      <w:tr>
        <w:trPr/>
        <w:tc>
          <w:tcPr>
            <w:tcW w:w="161" w:type="dxa"/>
            <w:tcBorders>
              <w:left w:val="single" w:sz="8" w:space="0" w:color="000000"/>
            </w:tcBorders>
            <w:shd w:fill="EBF0F0" w:val="clear"/>
            <w:tcMar>
              <w:top w:w="0" w:type="dxa"/>
              <w:bottom w:w="0" w:type="dxa"/>
              <w:right w:w="0" w:type="dxa"/>
            </w:tcMar>
            <w:vAlign w:val="center"/>
          </w:tcPr>
          <w:p>
            <w:pPr>
              <w:pStyle w:val="TableContents"/>
              <w:bidi w:val="0"/>
              <w:spacing w:before="240" w:after="283"/>
              <w:jc w:val="left"/>
              <w:rPr/>
            </w:pPr>
            <w:r>
              <w:rPr/>
              <w:t> </w:t>
            </w:r>
          </w:p>
        </w:tc>
        <w:tc>
          <w:tcPr>
            <w:tcW w:w="9853" w:type="dxa"/>
            <w:tcBorders/>
            <w:shd w:fill="EBF0F0" w:val="clear"/>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It is important that your shares be represented regardless of the number of shares you may hold as of the record date. Whether or not you plan to attend the virtual Special Meeting, we urge you to vote your shares via the toll-free telephone number or over the Internet, as described in the enclosed materials. If you received a paper copy of the proxy card by mail, you may sign, date and mail the proxy card in the enclosed pre-addressed return envelope, which needs no postage if mailed in the United States. We encourage stockholders to submit their proxy by mail, telephone, or Internet. Promptly voting your shares will ensure the presence of a quorum at the Special Meeting and will save us the expense of further solicitation. Submitting your proxy now will not prevent you from voting your shares at the Special Meeting if you desire to do so, as your proxy is revocable at your option. The Company asks your cooperation in promptly submitting your proxy.</w:t>
            </w:r>
          </w:p>
        </w:tc>
        <w:tc>
          <w:tcPr>
            <w:tcW w:w="191" w:type="dxa"/>
            <w:tcBorders>
              <w:right w:val="single" w:sz="8" w:space="0" w:color="000000"/>
            </w:tcBorders>
            <w:shd w:fill="EBF0F0" w:val="clear"/>
            <w:tcMar>
              <w:top w:w="0" w:type="dxa"/>
              <w:left w:w="0" w:type="dxa"/>
              <w:bottom w:w="0" w:type="dxa"/>
            </w:tcMar>
            <w:vAlign w:val="center"/>
          </w:tcPr>
          <w:p>
            <w:pPr>
              <w:pStyle w:val="TableContents"/>
              <w:bidi w:val="0"/>
              <w:spacing w:before="240" w:after="283"/>
              <w:jc w:val="left"/>
              <w:rPr/>
            </w:pPr>
            <w:r>
              <w:rPr/>
              <w:t> </w:t>
            </w:r>
          </w:p>
        </w:tc>
      </w:tr>
      <w:tr>
        <w:trPr/>
        <w:tc>
          <w:tcPr>
            <w:tcW w:w="161" w:type="dxa"/>
            <w:tcBorders>
              <w:left w:val="single" w:sz="8" w:space="0" w:color="000000"/>
              <w:bottom w:val="single" w:sz="8" w:space="0" w:color="000000"/>
            </w:tcBorders>
            <w:shd w:fill="EBF0F0" w:val="clear"/>
            <w:tcMar>
              <w:top w:w="0" w:type="dxa"/>
              <w:right w:w="0" w:type="dxa"/>
            </w:tcMar>
            <w:vAlign w:val="center"/>
          </w:tcPr>
          <w:p>
            <w:pPr>
              <w:pStyle w:val="TableContents"/>
              <w:bidi w:val="0"/>
              <w:spacing w:before="0" w:after="283"/>
              <w:jc w:val="left"/>
              <w:rPr/>
            </w:pPr>
            <w:r>
              <w:rPr/>
              <w:t> </w:t>
            </w:r>
          </w:p>
        </w:tc>
        <w:tc>
          <w:tcPr>
            <w:tcW w:w="9853"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right w:val="single" w:sz="8" w:space="0" w:color="000000"/>
            </w:tcBorders>
            <w:shd w:fill="EBF0F0"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If you would like to attend the virtual Special Meeting, please refer to the logistical information in the section titled “</w:t>
      </w:r>
      <w:r>
        <w:rPr>
          <w:rFonts w:ascii="Times New Roman" w:hAnsi="Times New Roman"/>
          <w:i/>
          <w:color w:val="000000"/>
          <w:sz w:val="20"/>
        </w:rPr>
        <w:t>Questions and Answers About the Proxy Materials and Voting</w:t>
      </w:r>
      <w:r>
        <w:rPr>
          <w:rFonts w:ascii="Times New Roman" w:hAnsi="Times New Roman"/>
          <w:color w:val="000000"/>
          <w:sz w:val="20"/>
        </w:rPr>
        <w:t>.”</w:t>
      </w:r>
    </w:p>
    <w:p>
      <w:pPr>
        <w:pStyle w:val="TextBody"/>
        <w:bidi w:val="0"/>
        <w:jc w:val="both"/>
        <w:rPr/>
      </w:pPr>
      <w:r>
        <w:rPr/>
        <w:t> </w:t>
      </w:r>
    </w:p>
    <w:tbl>
      <w:tblPr>
        <w:tblW w:w="3994" w:type="dxa"/>
        <w:jc w:val="left"/>
        <w:tblInd w:w="0" w:type="dxa"/>
        <w:tblLayout w:type="fixed"/>
        <w:tblCellMar>
          <w:top w:w="28" w:type="dxa"/>
          <w:left w:w="28" w:type="dxa"/>
          <w:bottom w:w="28" w:type="dxa"/>
          <w:right w:w="28" w:type="dxa"/>
        </w:tblCellMar>
      </w:tblPr>
      <w:tblGrid>
        <w:gridCol w:w="161"/>
        <w:gridCol w:w="146"/>
        <w:gridCol w:w="146"/>
        <w:gridCol w:w="35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240" w:after="283"/>
              <w:jc w:val="left"/>
              <w:rPr/>
            </w:pPr>
            <w:r>
              <w:rPr/>
              <w:drawing>
                <wp:inline distT="0" distB="0" distL="0" distR="0">
                  <wp:extent cx="216217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62175" cy="276225"/>
                          </a:xfrm>
                          <a:prstGeom prst="rect">
                            <a:avLst/>
                          </a:prstGeom>
                        </pic:spPr>
                      </pic:pic>
                    </a:graphicData>
                  </a:graphic>
                </wp:inline>
              </w:drawing>
            </w:r>
          </w:p>
          <w:p>
            <w:pPr>
              <w:pStyle w:val="TableContents"/>
              <w:bidi w:val="0"/>
              <w:spacing w:before="0" w:after="283"/>
              <w:jc w:val="left"/>
              <w:rPr>
                <w:color w:val="000000"/>
              </w:rPr>
            </w:pPr>
            <w:r>
              <w:rPr>
                <w:color w:val="000000"/>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Sarah Toomey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Counsel and Corporate Secretary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24,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table_of_contents"/>
      <w:bookmarkEnd w:id="3"/>
      <w:r>
        <w:rPr>
          <w:rFonts w:ascii="Times New Roman" w:hAnsi="Times New Roman"/>
          <w:b/>
          <w:color w:val="FC0014"/>
          <w:sz w:val="20"/>
        </w:rPr>
        <w:t>TABLE OF CONTENTS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01"/>
        <w:gridCol w:w="404"/>
      </w:tblGrid>
      <w:tr>
        <w:trPr/>
        <w:tc>
          <w:tcPr>
            <w:tcW w:w="98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executive_summary">
              <w:r>
                <w:rPr>
                  <w:rStyle w:val="InternetLink"/>
                  <w:rFonts w:ascii="Times New Roman" w:hAnsi="Times New Roman"/>
                  <w:color w:val="000000"/>
                  <w:sz w:val="20"/>
                </w:rPr>
                <w:t>EXECUTIVE SUMMARY</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1</w:t>
            </w:r>
          </w:p>
        </w:tc>
      </w:tr>
      <w:tr>
        <w:trPr/>
        <w:tc>
          <w:tcPr>
            <w:tcW w:w="9801" w:type="dxa"/>
            <w:tcBorders/>
            <w:tcMar>
              <w:top w:w="0" w:type="dxa"/>
              <w:left w:w="0" w:type="dxa"/>
              <w:bottom w:w="0" w:type="dxa"/>
              <w:right w:w="0" w:type="dxa"/>
            </w:tcMar>
            <w:vAlign w:val="center"/>
          </w:tcPr>
          <w:p>
            <w:pPr>
              <w:pStyle w:val="TableContents"/>
              <w:bidi w:val="0"/>
              <w:spacing w:before="20" w:after="283"/>
              <w:jc w:val="left"/>
              <w:rPr/>
            </w:pPr>
            <w:hyperlink w:anchor="questions_and_answers_about_proxy_voting">
              <w:r>
                <w:rPr>
                  <w:rStyle w:val="InternetLink"/>
                  <w:rFonts w:ascii="Times New Roman" w:hAnsi="Times New Roman"/>
                  <w:color w:val="000000"/>
                  <w:sz w:val="20"/>
                </w:rPr>
                <w:t>QUESTIONS AND ANSWERS ABOUT THE PROXY MATERIALS AND VOTING</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3</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proposal_one_election_of_directors">
              <w:r>
                <w:rPr>
                  <w:rStyle w:val="InternetLink"/>
                  <w:rFonts w:ascii="Times New Roman" w:hAnsi="Times New Roman"/>
                  <w:color w:val="000000"/>
                  <w:sz w:val="20"/>
                </w:rPr>
                <w:t>PROPOSAL No. 1 – APPROVAL OF A SERIES OF ALTERNATE AMENDMENTS TO OUR AMENDED AND RESTATED CERTIFICATE OF INCORPORATION TO EFFECT A REVERSE STOCK SPLIT OF OUR COMMON STOCK</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9</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00"/>
                  <w:sz w:val="20"/>
                </w:rPr>
                <w:t>SECURITY OWNERSHIP OF CERTAIN BENEFICIAL OWNERS AND MANAGEMENT</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18</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00"/>
                  <w:sz w:val="20"/>
                </w:rPr>
                <w:t>ADDITIONAL INFORMATION</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21</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Times New Roman" w:hAnsi="Times New Roman"/>
                  <w:color w:val="000000"/>
                  <w:sz w:val="20"/>
                </w:rPr>
                <w:t>APPENDIX A – CERTIFICATE OF AMENDMENT TO AMENDED AND RESTATED CERTIFICATE OF INCORPORATION</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A-1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67150" cy="1104900"/>
                    </a:xfrm>
                    <a:prstGeom prst="rect">
                      <a:avLst/>
                    </a:prstGeom>
                  </pic:spPr>
                </pic:pic>
              </a:graphicData>
            </a:graphic>
          </wp:inline>
        </w:drawing>
      </w:r>
    </w:p>
    <w:p>
      <w:pPr>
        <w:pStyle w:val="TextBody"/>
        <w:bidi w:val="0"/>
        <w:jc w:val="center"/>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Fractyl Health, Inc.</w:t>
      </w:r>
    </w:p>
    <w:p>
      <w:pPr>
        <w:pStyle w:val="TextBody"/>
        <w:bidi w:val="0"/>
        <w:jc w:val="center"/>
        <w:rPr>
          <w:rFonts w:ascii="Times New Roman" w:hAnsi="Times New Roman"/>
          <w:b/>
          <w:color w:val="000000"/>
          <w:sz w:val="20"/>
        </w:rPr>
      </w:pPr>
      <w:r>
        <w:rPr>
          <w:rFonts w:ascii="Times New Roman" w:hAnsi="Times New Roman"/>
          <w:b/>
          <w:color w:val="000000"/>
          <w:sz w:val="20"/>
        </w:rPr>
        <w:t>3 Van de Graaff Drive, Suite 200</w:t>
      </w:r>
    </w:p>
    <w:p>
      <w:pPr>
        <w:pStyle w:val="TextBody"/>
        <w:bidi w:val="0"/>
        <w:jc w:val="center"/>
        <w:rPr>
          <w:rFonts w:ascii="Times New Roman" w:hAnsi="Times New Roman"/>
          <w:sz w:val="20"/>
        </w:rPr>
      </w:pPr>
      <w:r>
        <w:rPr>
          <w:rFonts w:ascii="Times New Roman" w:hAnsi="Times New Roman"/>
          <w:b/>
          <w:color w:val="000000"/>
          <w:sz w:val="20"/>
        </w:rPr>
        <w:t>Burlington, Massachusetts 01803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executive_summary"/>
      <w:bookmarkEnd w:id="4"/>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FC0838"/>
          <w:sz w:val="20"/>
        </w:rPr>
        <w:t>2026 Special Meeting Information</w:t>
      </w:r>
      <w:r>
        <w:rPr>
          <w:rFonts w:ascii="Times New Roman" w:hAnsi="Times New Roman"/>
          <w:color w:val="FC0838"/>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Date and Time: Thursday, September 24, 2026, 12:00 p.m. Eastern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Location: www.virtualshareholdermeeting.com/GUTS2026SM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Record Date: August 21,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Proxy Mail Date: On or about August 24, 2026</w:t>
      </w:r>
    </w:p>
    <w:p>
      <w:pPr>
        <w:pStyle w:val="TextBody"/>
        <w:bidi w:val="0"/>
        <w:spacing w:before="360" w:after="283"/>
        <w:jc w:val="both"/>
        <w:rPr>
          <w:rFonts w:ascii="Times New Roman" w:hAnsi="Times New Roman"/>
          <w:sz w:val="20"/>
        </w:rPr>
      </w:pPr>
      <w:r>
        <w:rPr>
          <w:rFonts w:ascii="Times New Roman" w:hAnsi="Times New Roman"/>
          <w:b/>
          <w:color w:val="FC0838"/>
          <w:sz w:val="20"/>
        </w:rPr>
        <w:t>How to Vote</w:t>
      </w:r>
      <w:r>
        <w:rPr>
          <w:rFonts w:ascii="Times New Roman" w:hAnsi="Times New Roman"/>
          <w:color w:val="FC0838"/>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Internet: Visit the website listed on your enclosed proxy card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Phone: Call the telephone number on your proxy card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Mail: If you received paper copies, sign, date and return your proxy card in the provided envelope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Participate in the Special Meeting webcast using your 16-digit control number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statement is furnished in connection with the solicitation by the Board of Directors (the “Board”) of Fractyl Health, Inc. (the “Company,” “Fractyl Health,” “we” or “us”) of proxies to be voted at our Special Meeting of Stockholders to be held on Thursday, September 24, 2026 (the “Special Meeting”), at 12:00 p.m. Eastern Time, and at any continuation, postponement or adjournment of the Special Meeting. The Special Meeting will be a completely virtual meeting, which will be conducted via live webcast. You will be able to attend the Special Meeting online and submit your questions during the meeting by visiting www.virtualshareholdermeeting.com/GUTS2026SM and entering your 16-digit control number included on your proxy card. You may log-in beginning at 11:45 a.m. Eastern Time, on September 24,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Only holders of record of outstanding shares of our common stock at the close of business on August 21, 2026 (the “Record Date”), will be entitled to notice of and to vote at the Special Meeting and any continuation, postponement or adjournment of the Special Meeting. Each share of our common stock entitles its holder to one vote per share on all matters presented to our stockholders. At the close of business on the Record Date, there were 159,179,848 shares of common stock outstanding and entitled to vote at the Special Meeting. </w:t>
      </w:r>
    </w:p>
    <w:p>
      <w:pPr>
        <w:pStyle w:val="TextBody"/>
        <w:bidi w:val="0"/>
        <w:spacing w:before="240" w:after="283"/>
        <w:jc w:val="both"/>
        <w:rPr>
          <w:rFonts w:ascii="Times New Roman" w:hAnsi="Times New Roman"/>
          <w:sz w:val="20"/>
        </w:rPr>
      </w:pPr>
      <w:r>
        <w:rPr>
          <w:rFonts w:ascii="Times New Roman" w:hAnsi="Times New Roman"/>
          <w:color w:val="000000"/>
          <w:sz w:val="20"/>
        </w:rPr>
        <w:t>This section summarizes and highlights certain information contained in this proxy statement, but does not contain all the information that you should consider when casting your vote. Please review the entire proxy statement carefully before voting. Frequently asked questions and logistical information regarding the Special Meeting is available in the section titled “</w:t>
      </w:r>
      <w:r>
        <w:rPr>
          <w:rFonts w:ascii="Times New Roman" w:hAnsi="Times New Roman"/>
          <w:i/>
          <w:color w:val="000000"/>
          <w:sz w:val="20"/>
        </w:rPr>
        <w:t>Questions and Answers About Proxy Materials and Voting</w:t>
      </w:r>
      <w:r>
        <w:rPr>
          <w:rFonts w:ascii="Times New Roman" w:hAnsi="Times New Roman"/>
          <w:color w:val="000000"/>
          <w:sz w:val="20"/>
        </w:rPr>
        <w:t xml:space="preserve">” beginning on page 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 the Special</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Meeting of Stockholders To Be Held on September 24, 2026:</w:t>
      </w:r>
    </w:p>
    <w:p>
      <w:pPr>
        <w:pStyle w:val="TextBody"/>
        <w:bidi w:val="0"/>
        <w:spacing w:before="240" w:after="283"/>
        <w:jc w:val="center"/>
        <w:rPr>
          <w:rFonts w:ascii="Times New Roman" w:hAnsi="Times New Roman"/>
          <w:sz w:val="20"/>
        </w:rPr>
      </w:pPr>
      <w:r>
        <w:rPr>
          <w:rFonts w:ascii="Times New Roman" w:hAnsi="Times New Roman"/>
          <w:b/>
          <w:color w:val="000000"/>
          <w:sz w:val="20"/>
        </w:rPr>
        <w:t>THIS PROXY STATEMENT AND PROXY MATERIALS ARE AVAILABLE FOR VIEWING,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PRINTING AND DOWNLOADING AT </w:t>
      </w:r>
      <w:r>
        <w:rPr>
          <w:rFonts w:ascii="Times New Roman" w:hAnsi="Times New Roman"/>
          <w:b/>
          <w:color w:val="FC0838"/>
          <w:sz w:val="20"/>
        </w:rPr>
        <w:t>www.proxyvote.com</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FC0838"/>
          <w:sz w:val="20"/>
        </w:rPr>
      </w:pPr>
      <w:bookmarkStart w:id="5" w:name="questions_and_answers_about_proxy_voting"/>
      <w:bookmarkEnd w:id="5"/>
      <w:r>
        <w:rPr>
          <w:rFonts w:ascii="Times New Roman" w:hAnsi="Times New Roman"/>
          <w:b/>
          <w:color w:val="FC0838"/>
          <w:sz w:val="20"/>
        </w:rPr>
        <w:t>QUESTIONS AND ANSWERS ABOUT THE PROXY MATERIALS AND VOTING</w:t>
      </w:r>
    </w:p>
    <w:p>
      <w:pPr>
        <w:pStyle w:val="TextBody"/>
        <w:bidi w:val="0"/>
        <w:spacing w:before="240" w:after="283"/>
        <w:jc w:val="left"/>
        <w:rPr>
          <w:rFonts w:ascii="Times New Roman" w:hAnsi="Times New Roman"/>
          <w:sz w:val="20"/>
        </w:rPr>
      </w:pPr>
      <w:r>
        <w:rPr>
          <w:rFonts w:ascii="Times New Roman" w:hAnsi="Times New Roman"/>
          <w:b/>
          <w:color w:val="000000"/>
          <w:sz w:val="20"/>
        </w:rPr>
        <w:t>Who Is Entitled To Vote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Record Date for the Special Meeting is August 21, 2026. You are entitled to vote at the Special Meeting only if you are a stockholder of record at the close of business on that date, or if you hold a valid proxy for the Special Meeting. Each share of our common stock entitles its holder to one vote per share on all matters presented to our stockholders. At the close of business on the Record Date, there were 159,179,848 shares of our common stock issued and outstanding and entitled to vote at the Special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Why Am I Receiving These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sent you these proxy materials because the Board is soliciting your proxy to vote at a Special Meeting of the Stockholders to be held on September 24, 2026 including at any adjournments or postponements of the meeting. On or about August 24, 2026, we mailed to the stockholders these proxy materials containing instructions on how to access this proxy statement and vote online. If you would like to receive a printed copy of our proxy materials, then you should follow the instructions for requesting such materials contained in these proxy materials.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one matter scheduled for a vote: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 xml:space="preserve">Proposal No. </w:t>
      </w:r>
      <w:r>
        <w:rPr>
          <w:rFonts w:ascii="Times New Roman" w:hAnsi="Times New Roman"/>
          <w:color w:val="000000"/>
          <w:sz w:val="20"/>
        </w:rPr>
        <w:t>1 – To approve a series of alternate amendments to the Company’s Amended and Restated Certificate of Incorporation to effect, at the option of the Board, a reverse stock split of our common stock at a ratio in the range of 1-for-5 to 1-for-15, inclusive (the “Reverse Stock Split”), with such ratio to be determined by the Board in its sole discretion.</w:t>
      </w:r>
    </w:p>
    <w:p>
      <w:pPr>
        <w:pStyle w:val="TextBody"/>
        <w:bidi w:val="0"/>
        <w:spacing w:before="360" w:after="283"/>
        <w:jc w:val="left"/>
        <w:rPr>
          <w:rFonts w:ascii="Times New Roman" w:hAnsi="Times New Roman"/>
          <w:sz w:val="20"/>
        </w:rPr>
      </w:pPr>
      <w:r>
        <w:rPr>
          <w:rFonts w:ascii="Times New Roman" w:hAnsi="Times New Roman"/>
          <w:b/>
          <w:color w:val="000000"/>
          <w:sz w:val="20"/>
        </w:rPr>
        <w:t>What Is The Difference Between Being A “Record Holder” And Holding Shares In “Street Name”?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record holder holds shares in his or her name. Shares held in “street name” means shares that are held in the name of a bank or broker on a person’s behalf.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the Company’s transfer agent, Equiniti Trust Company, LLC (the “Transfer Agent”),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 </w:t>
      </w:r>
    </w:p>
    <w:p>
      <w:pPr>
        <w:pStyle w:val="TextBody"/>
        <w:bidi w:val="0"/>
        <w:spacing w:before="360" w:after="283"/>
        <w:jc w:val="left"/>
        <w:rPr>
          <w:rFonts w:ascii="Times New Roman" w:hAnsi="Times New Roman"/>
          <w:sz w:val="20"/>
        </w:rPr>
      </w:pPr>
      <w:r>
        <w:rPr>
          <w:rFonts w:ascii="Times New Roman" w:hAnsi="Times New Roman"/>
          <w:b/>
          <w:color w:val="000000"/>
          <w:sz w:val="20"/>
        </w:rPr>
        <w:t>Am I Entitled To Vote If My Shares Are Held In “Street Name”?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If on the Record Date your shares are held by a bank, brokerage firm or other similar organization,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The organization holding your account is considered to be the stockholder of record for purposes of voting at the Special Meeting. As the beneficial owner, you have the right to direct your bank, brokerage firm or other agent regarding how to vote your shares, and the bank, brokerage firm or other agent is required to vote your shares in accordance with your instructions. If your shares are held in “street name,” you should contact your broker or other nominee to obtain your 16-digit control number or otherwise vote through the broker or other nominee. If you did not receive a 16-digit control number via email or voting instruction form, and you wish to vote prior to or at the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Shares Must Be Present To Hold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quorum must be present at the Special Meeting for any business to be conducted. The holders of a majority in voting power of the stock issued and outstanding and entitled to vote, present in person, or by remote communication, if applicable, or represented by proxy, shall constitute a quorum for the transaction of business at the Special Meeting. Votes withheld and broker non-votes will be counted for purposes of determining the presence of a quorum. </w:t>
      </w:r>
    </w:p>
    <w:p>
      <w:pPr>
        <w:pStyle w:val="TextBody"/>
        <w:bidi w:val="0"/>
        <w:spacing w:before="360" w:after="283"/>
        <w:jc w:val="left"/>
        <w:rPr>
          <w:rFonts w:ascii="Times New Roman" w:hAnsi="Times New Roman"/>
          <w:sz w:val="20"/>
        </w:rPr>
      </w:pPr>
      <w:r>
        <w:rPr>
          <w:rFonts w:ascii="Times New Roman" w:hAnsi="Times New Roman"/>
          <w:b/>
          <w:color w:val="000000"/>
          <w:sz w:val="20"/>
        </w:rPr>
        <w:t>Who Can Attend And Vote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Only stockholders of record at the close of business on the Record Date are entitled to vote at the Special Meeting.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Fractyl Health’s Transfer Agent, then you are a stockholder of record. Stockholders of record at the close of business on the Record Date may participate in the Special Meeting by visiting the following website: www.virtualshareholdermeeting.com/GUTS2026SM. To participate and vote at the Special Meeting, you will need the 16-digit control number included on your proxy card or on the instructions that accompanied your proxy materials.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your shares are held not in your name but rather in an account at a brokerage firm, bank or other similar organization, then you are the beneficial owner of shares held in “street name” and these proxy materials should be forwarded to you by that organization. You should contact your broker or other nominee to obtain your 16-digit control number or otherwise vote through the broker or other nominee.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voting instruction form, and you wish to vote prior to or at the virtual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if I cannot find my Control Number?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Please note that if you do not have your Control Number and you are a registered stockholder, you will be able to login as a guest. To view the meeting webcast visit www.virtualshareholdermeeting.com/GUTS2026SM and register as a guest. If you login as a guest, you will not be able to vote your shares or ask questions during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a beneficial owner (that is, you hold your shares in an account at a bank, broker or other holder of record), you will need to contact that bank, broker or other holder of record to obtain your Control Number prior to the Special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Why Hold A Virtual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a virtual meeting enables increased stockholder attendance and participation because stockholders can participate from any location around the world. A virtual meeting also improves communications, reduces negative environmental impact and reduces costs for our stockholders and the Company compared to an in person meeting. You will be able to attend the Special Meeting online and submit your questions by visiting www.virtualshareholdermeeting.com/GUTS2026SM. You also will be able to vote your shares electronically at the Special Meeting by following the instructions above. </w:t>
      </w:r>
    </w:p>
    <w:p>
      <w:pPr>
        <w:pStyle w:val="TextBody"/>
        <w:bidi w:val="0"/>
        <w:spacing w:before="360" w:after="283"/>
        <w:jc w:val="left"/>
        <w:rPr>
          <w:rFonts w:ascii="Times New Roman" w:hAnsi="Times New Roman"/>
          <w:sz w:val="20"/>
        </w:rPr>
      </w:pPr>
      <w:r>
        <w:rPr>
          <w:rFonts w:ascii="Times New Roman" w:hAnsi="Times New Roman"/>
          <w:b/>
          <w:color w:val="000000"/>
          <w:sz w:val="20"/>
        </w:rPr>
        <w:t>What If During The Check-In Time Or During The Special Meeting I Have Technical Difficulties Or Trouble Accessing The Virtual Meeting Website?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virtual meeting website, and the information for assistance will be located on the Special Meeting login page. </w:t>
      </w:r>
    </w:p>
    <w:p>
      <w:pPr>
        <w:pStyle w:val="TextBody"/>
        <w:bidi w:val="0"/>
        <w:spacing w:before="360" w:after="283"/>
        <w:jc w:val="left"/>
        <w:rPr>
          <w:rFonts w:ascii="Times New Roman" w:hAnsi="Times New Roman"/>
          <w:sz w:val="20"/>
        </w:rPr>
      </w:pPr>
      <w:r>
        <w:rPr>
          <w:rFonts w:ascii="Times New Roman" w:hAnsi="Times New Roman"/>
          <w:b/>
          <w:color w:val="000000"/>
          <w:sz w:val="20"/>
        </w:rPr>
        <w:t>Will There Be A Question And Answer Session During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As part of the Special Meeting, we will hold a live Q&amp;A session, during which we intend to answer appropriate questions submitted by stockholders during the meeting that are pertinent to the Company and the meeting matters, for 15 minutes after the completion of the Special Meeting. Only stockholders that have accessed the Special Meeting as a stockholder (rather than a “Guest”) by following the procedures outlined above in “</w:t>
      </w:r>
      <w:r>
        <w:rPr>
          <w:rFonts w:ascii="Times New Roman" w:hAnsi="Times New Roman"/>
          <w:i/>
          <w:color w:val="000000"/>
          <w:sz w:val="20"/>
        </w:rPr>
        <w:t>Who can attend and vote at the Special Meeting?</w:t>
      </w:r>
      <w:r>
        <w:rPr>
          <w:rFonts w:ascii="Times New Roman" w:hAnsi="Times New Roman"/>
          <w:color w:val="000000"/>
          <w:sz w:val="20"/>
        </w:rPr>
        <w:t xml:space="preserve">” will be permitted to submit questions during the Special Meeting. Each stockholder is limited to no more than two questions. Questions should be succinct and only cover a single topic. We will not address questions that are,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irrelevant to the business of the Company or to the business of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material non-public information of the Company, including the status or results of our business since our last Quarterly Report on Form 10-Q;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any pending, threatened or ongoing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personal grievances;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derogatory references to individuals or that are otherwise in bad taste;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repetitious of questions already made by another stockholder;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excess of the two question limit;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furtherance of the stockholder’s personal or business interests;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 of order or not otherwise suitable for the conduct of the Special Meeting as determined by the Chair or Corporate Secretary in their reasonable judgment. </w:t>
      </w:r>
    </w:p>
    <w:p>
      <w:pPr>
        <w:pStyle w:val="TextBody"/>
        <w:bidi w:val="0"/>
        <w:spacing w:before="240" w:after="283"/>
        <w:jc w:val="both"/>
        <w:rPr>
          <w:rFonts w:ascii="Times New Roman" w:hAnsi="Times New Roman"/>
          <w:sz w:val="20"/>
        </w:rPr>
      </w:pPr>
      <w:r>
        <w:rPr>
          <w:rFonts w:ascii="Times New Roman" w:hAnsi="Times New Roman"/>
          <w:color w:val="000000"/>
          <w:sz w:val="20"/>
        </w:rPr>
        <w:t>Additional information regarding the Q&amp;A session will be available in the “Rules of Conduct” available on the Special Meeting webpage for stockholders that have accessed the Special Meeting as a stockholder (rather than a “Guest”) by following the procedures outlined above in “</w:t>
      </w:r>
      <w:r>
        <w:rPr>
          <w:rFonts w:ascii="Times New Roman" w:hAnsi="Times New Roman"/>
          <w:i/>
          <w:color w:val="000000"/>
          <w:sz w:val="20"/>
        </w:rPr>
        <w:t>Who can attend and vote at the Special Meeting?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What If A Quorum Is Not Present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quorum is not present at the scheduled time of the Special Meeting, the chairperson of the Special Meeting may adjourn the Special Meeting until a quorum is present or represented. </w:t>
      </w:r>
    </w:p>
    <w:p>
      <w:pPr>
        <w:pStyle w:val="TextBody"/>
        <w:bidi w:val="0"/>
        <w:spacing w:before="360" w:after="283"/>
        <w:jc w:val="left"/>
        <w:rPr>
          <w:rFonts w:ascii="Times New Roman" w:hAnsi="Times New Roman"/>
          <w:sz w:val="20"/>
        </w:rPr>
      </w:pPr>
      <w:r>
        <w:rPr>
          <w:rFonts w:ascii="Times New Roman" w:hAnsi="Times New Roman"/>
          <w:b/>
          <w:color w:val="000000"/>
          <w:sz w:val="20"/>
        </w:rPr>
        <w:t>What Does It Mean If I Receive More Than One Set Of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means that your shares are held in more than one account at the Transfer Agent and/or with banks or brokers. Please vote all of your shares. To ensure that all of your shares are voted, for each set of proxy materials, please submit your proxy by phone, via the Internet or by signing, dating and returning the enclosed proxy card in the enclosed envelope.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Proposal No. 1, you may vote “For” or “Against” or abstain from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recommend that stockholders vote prior to the Special Meeting by proxy even if they plan to attend the Special Meeting and vote during the meeting. If you are a stockholder of record, there are three ways to vote by proxy: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Internet</w:t>
      </w:r>
      <w:r>
        <w:rPr>
          <w:rFonts w:ascii="Times New Roman" w:hAnsi="Times New Roman"/>
          <w:color w:val="000000"/>
          <w:sz w:val="20"/>
        </w:rPr>
        <w:t xml:space="preserve">: You can vote over the Internet at www.proxyvote.com by following the instructions on the proxy card;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Telephone</w:t>
      </w:r>
      <w:r>
        <w:rPr>
          <w:rFonts w:ascii="Times New Roman" w:hAnsi="Times New Roman"/>
          <w:color w:val="000000"/>
          <w:sz w:val="20"/>
        </w:rPr>
        <w:t xml:space="preserve">: You can vote by telephone by calling 1-800-690-6903 and following the instructions on the proxy card; or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Mail</w:t>
      </w:r>
      <w:r>
        <w:rPr>
          <w:rFonts w:ascii="Times New Roman" w:hAnsi="Times New Roman"/>
          <w:color w:val="000000"/>
          <w:sz w:val="20"/>
        </w:rPr>
        <w:t xml:space="preserve">: You can vote by mail by signing, dating and mailing the proxy card, which you may have received by mail.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Internet and telephone voting facilities for stockholders of record will be available 24 hours a day and will close at 11:59 p.m., Eastern time, on September 23, 2026. We encourage stockholders to submit their proxy via telephone or the Internet.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vote at the Special Meeting, visit www.virtualshareholdermeeting.com/GUTS2026SM (you will need the control number printed on your proxy registration confirmation email).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in street name through a bank or broker, you should receive instructions on how to vote from the bank or broker rather than from Fractyl Health.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Special Meeting, you should contact your broker or other nominee to obtain your 16-digit control number or otherwise vote through the broker or other nominee. Many brokers, banks and other stockholders of record allow a beneficial owner to obtain their 16-digit control number either online or by mail, and we recommend that you contact your broker, bank or other stockholder of record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a stockholder of record and do not vote by completing your proxy card, by telephone, through the internet or online at the Special Meeting, your shares will not be voted.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I Am A Beneficial Owner Of Shares Held In Street Name And I Do Not Provide My Broker Or Bank With Voting Instructions, What Happens?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shareholders, such as mergers, shareholder proposals, elections of directors (even if not contested), executive compensation, and certain corporate governance proposals, even if management-supported. In this regard, Proposal No. 1 is considered to be “routine” under applicable rules, meaning your broker or nominee may vote your shares on Proposal No. 1. </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If you a beneficial owner of shares held in street name, and you do not plan to attend the Special Meeting,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Where Can I Get Technical Assistance If I Am Having Trouble Accessing The Meeting Or During The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have difficulty accessing the meeting or during the meeting, please refer to the technical support telephone number posted on the virtual meeting website login page, where technicians will be available to help you.</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Can I Change My Vote After I Submit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registered stockholder, you may revoke your proxy and change your vote: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submitting a duly executed proxy bearing a later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granting a subsequent proxy through the Internet or telephone;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giving written notice of revocation to our Corporate Secretary such that it is received prior to the Special Meeting;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by voting during the Special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during the Special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your shares are held in street name, you may change or revoke your voting instructions by following the specific directions provided to you by your bank or broker, or you may vote during the Special Meeting by obtaining your 16-digit control number from your bank or broker or otherwise voting through your bank or broker. </w:t>
      </w:r>
    </w:p>
    <w:p>
      <w:pPr>
        <w:pStyle w:val="TextBody"/>
        <w:bidi w:val="0"/>
        <w:spacing w:before="360" w:after="283"/>
        <w:jc w:val="left"/>
        <w:rPr>
          <w:rFonts w:ascii="Times New Roman" w:hAnsi="Times New Roman"/>
          <w:sz w:val="20"/>
        </w:rPr>
      </w:pPr>
      <w:r>
        <w:rPr>
          <w:rFonts w:ascii="Times New Roman" w:hAnsi="Times New Roman"/>
          <w:b/>
          <w:color w:val="000000"/>
          <w:sz w:val="20"/>
        </w:rPr>
        <w:t>Who Will Count The Votes?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representative of Broadridge Financial Solutions, Inc., our inspector of election, will tabulate and certify the votes. </w:t>
      </w:r>
    </w:p>
    <w:p>
      <w:pPr>
        <w:pStyle w:val="TextBody"/>
        <w:bidi w:val="0"/>
        <w:spacing w:before="360" w:after="283"/>
        <w:jc w:val="left"/>
        <w:rPr>
          <w:rFonts w:ascii="Times New Roman" w:hAnsi="Times New Roman"/>
          <w:sz w:val="20"/>
        </w:rPr>
      </w:pPr>
      <w:r>
        <w:rPr>
          <w:rFonts w:ascii="Times New Roman" w:hAnsi="Times New Roman"/>
          <w:b/>
          <w:color w:val="000000"/>
          <w:sz w:val="20"/>
        </w:rPr>
        <w:t>What If I Do Not Specify How My Shares Are To Be Voted?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submit a proxy but do not indicate any voting instructions, the persons named as proxies will vote in accordance with the recommendations of the Board. The Board’s recommendations are indicated on page 17 of this proxy statement, as well as with the description of each proposal in this proxy statement. </w:t>
      </w:r>
    </w:p>
    <w:p>
      <w:pPr>
        <w:pStyle w:val="TextBody"/>
        <w:bidi w:val="0"/>
        <w:spacing w:before="360" w:after="283"/>
        <w:jc w:val="left"/>
        <w:rPr>
          <w:rFonts w:ascii="Times New Roman" w:hAnsi="Times New Roman"/>
          <w:sz w:val="20"/>
        </w:rPr>
      </w:pPr>
      <w:r>
        <w:rPr>
          <w:rFonts w:ascii="Times New Roman" w:hAnsi="Times New Roman"/>
          <w:b/>
          <w:color w:val="000000"/>
          <w:sz w:val="20"/>
        </w:rPr>
        <w:t>Will Any Other Business Be Conducted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know of no other business that will be presented at the Special Meeting. If any other matter properly comes before the stockholders for a vote at the Special Meeting, however, the proxy holders named on the Company’s proxy card will vote your shares in accordance with their best judgment.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Are Required For The Approval Of The Proposals To Be Voted Upon And How Will Abstentions And Broker Non-Votes Be Treated?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1166"/>
        <w:gridCol w:w="290"/>
        <w:gridCol w:w="940"/>
        <w:gridCol w:w="290"/>
        <w:gridCol w:w="290"/>
        <w:gridCol w:w="1568"/>
        <w:gridCol w:w="290"/>
        <w:gridCol w:w="1175"/>
        <w:gridCol w:w="290"/>
        <w:gridCol w:w="290"/>
        <w:gridCol w:w="1324"/>
        <w:gridCol w:w="290"/>
        <w:gridCol w:w="1214"/>
        <w:gridCol w:w="290"/>
        <w:gridCol w:w="193"/>
      </w:tblGrid>
      <w:tr>
        <w:trPr/>
        <w:tc>
          <w:tcPr>
            <w:tcW w:w="3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5" w:type="dxa"/>
            <w:tcBorders>
              <w:left w:val="single" w:sz="8" w:space="0" w:color="000000"/>
              <w:bottom w:val="single" w:sz="8" w:space="0" w:color="000000"/>
            </w:tcBorders>
            <w:shd w:fill="EBF0F0" w:val="clear"/>
            <w:tcMar>
              <w:top w:w="0" w:type="dxa"/>
              <w:right w:w="0" w:type="dxa"/>
            </w:tcMar>
            <w:vAlign w:val="center"/>
          </w:tcPr>
          <w:p>
            <w:pPr>
              <w:pStyle w:val="TableContents"/>
              <w:bidi w:val="0"/>
              <w:spacing w:before="0" w:after="283"/>
              <w:ind w:left="0" w:right="0" w:firstLine="144"/>
              <w:jc w:val="left"/>
              <w:rPr/>
            </w:pPr>
            <w:r>
              <w:rPr/>
              <w:t> </w:t>
            </w:r>
          </w:p>
        </w:tc>
        <w:tc>
          <w:tcPr>
            <w:tcW w:w="1166"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Proposal</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94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 xml:space="preserve">Page </w:t>
              <w:br/>
              <w:t>Number</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1568"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Vote Required for Approval</w:t>
            </w:r>
          </w:p>
        </w:tc>
        <w:tc>
          <w:tcPr>
            <w:tcW w:w="290" w:type="dxa"/>
            <w:tcBorders>
              <w:top w:val="single" w:sz="8" w:space="0" w:color="000000"/>
              <w:bottom w:val="single" w:sz="8" w:space="0" w:color="000000"/>
              <w:right w:val="single" w:sz="4" w:space="0" w:color="000000"/>
            </w:tcBorders>
            <w:shd w:fill="EBF0F0" w:val="clear"/>
            <w:tcMar>
              <w:left w:w="0" w:type="dxa"/>
              <w:bottom w:w="43" w:type="dxa"/>
            </w:tcMar>
            <w:vAlign w:val="center"/>
          </w:tcPr>
          <w:p>
            <w:pPr>
              <w:pStyle w:val="TableContents"/>
              <w:bidi w:val="0"/>
              <w:spacing w:before="120" w:after="283"/>
              <w:ind w:left="0" w:right="0" w:firstLine="144"/>
              <w:jc w:val="left"/>
              <w:rPr/>
            </w:pPr>
            <w:r>
              <w:rPr/>
              <w:t> </w:t>
            </w:r>
          </w:p>
        </w:tc>
        <w:tc>
          <w:tcPr>
            <w:tcW w:w="1175"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Voting Options</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1324"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Effect of Votes</w:t>
              <w:br/>
              <w:t>Withheld/Abstentions,</w:t>
              <w:br/>
              <w:t>As Applicable</w:t>
            </w:r>
          </w:p>
        </w:tc>
        <w:tc>
          <w:tcPr>
            <w:tcW w:w="290" w:type="dxa"/>
            <w:tcBorders>
              <w:top w:val="single" w:sz="8" w:space="0" w:color="000000"/>
              <w:bottom w:val="single" w:sz="8" w:space="0" w:color="000000"/>
              <w:right w:val="single" w:sz="4" w:space="0" w:color="000000"/>
            </w:tcBorders>
            <w:shd w:fill="EBF0F0" w:val="clear"/>
            <w:tcMar>
              <w:left w:w="0" w:type="dxa"/>
              <w:bottom w:w="43" w:type="dxa"/>
            </w:tcMar>
            <w:vAlign w:val="center"/>
          </w:tcPr>
          <w:p>
            <w:pPr>
              <w:pStyle w:val="TableContents"/>
              <w:bidi w:val="0"/>
              <w:spacing w:before="120" w:after="283"/>
              <w:ind w:left="0" w:right="0" w:firstLine="144"/>
              <w:jc w:val="left"/>
              <w:rPr/>
            </w:pPr>
            <w:r>
              <w:rPr/>
              <w:t> </w:t>
            </w:r>
          </w:p>
        </w:tc>
        <w:tc>
          <w:tcPr>
            <w:tcW w:w="1214"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sz w:val="20"/>
              </w:rPr>
            </w:pPr>
            <w:r>
              <w:rPr>
                <w:rFonts w:ascii="Times New Roman" w:hAnsi="Times New Roman"/>
                <w:b/>
                <w:color w:val="000000"/>
                <w:sz w:val="20"/>
              </w:rPr>
              <w:t>Effect of Broker Non-Votes</w:t>
            </w:r>
            <w:r>
              <w:rPr>
                <w:rFonts w:ascii="Times New Roman" w:hAnsi="Times New Roman"/>
                <w:color w:val="000000"/>
                <w:sz w:val="20"/>
              </w:rPr>
              <w:t xml:space="preserve"> </w:t>
            </w:r>
          </w:p>
          <w:p>
            <w:pPr>
              <w:pStyle w:val="TableContents"/>
              <w:bidi w:val="0"/>
              <w:spacing w:before="0" w:after="283"/>
              <w:ind w:left="0" w:right="0" w:firstLine="144"/>
              <w:jc w:val="left"/>
              <w:rPr/>
            </w:pPr>
            <w:r>
              <w:rPr/>
              <w:t> </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193"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0" w:after="283"/>
              <w:jc w:val="left"/>
              <w:rPr/>
            </w:pPr>
            <w:r>
              <w:rPr/>
              <w:t> </w:t>
            </w:r>
          </w:p>
        </w:tc>
      </w:tr>
      <w:tr>
        <w:trPr/>
        <w:tc>
          <w:tcPr>
            <w:tcW w:w="305"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144"/>
              <w:jc w:val="left"/>
              <w:rPr/>
            </w:pPr>
            <w:r>
              <w:rPr/>
              <w:t> </w:t>
            </w:r>
          </w:p>
        </w:tc>
        <w:tc>
          <w:tcPr>
            <w:tcW w:w="1166"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color w:val="000000"/>
                <w:sz w:val="20"/>
              </w:rPr>
              <w:t xml:space="preserve">Proposal No. 1: Reverse Stock Split </w:t>
            </w:r>
            <w:r>
              <w:rPr>
                <w:rFonts w:ascii="Times New Roman" w:hAnsi="Times New Roman"/>
                <w:color w:val="000000"/>
                <w:sz w:val="13"/>
              </w:rPr>
              <w:t>(1)</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94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pPr>
            <w:r>
              <w:rPr/>
              <w:t> </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1568"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Affirmative vote from the holders of a majority of the total votes cast on the proposal.</w:t>
            </w:r>
          </w:p>
        </w:tc>
        <w:tc>
          <w:tcPr>
            <w:tcW w:w="290" w:type="dxa"/>
            <w:tcBorders>
              <w:bottom w:val="single" w:sz="8" w:space="0" w:color="000000"/>
              <w:right w:val="single" w:sz="4" w:space="0" w:color="000000"/>
            </w:tcBorders>
            <w:tcMar>
              <w:top w:w="0" w:type="dxa"/>
              <w:left w:w="0" w:type="dxa"/>
              <w:bottom w:w="43" w:type="dxa"/>
            </w:tcMar>
            <w:vAlign w:val="center"/>
          </w:tcPr>
          <w:p>
            <w:pPr>
              <w:pStyle w:val="TableContents"/>
              <w:bidi w:val="0"/>
              <w:spacing w:before="0" w:after="283"/>
              <w:ind w:left="0" w:right="0" w:firstLine="144"/>
              <w:jc w:val="left"/>
              <w:rPr/>
            </w:pPr>
            <w:r>
              <w:rPr/>
              <w:t> </w:t>
            </w:r>
          </w:p>
        </w:tc>
        <w:tc>
          <w:tcPr>
            <w:tcW w:w="1175"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FOR, AGAINST or ABSTAIN</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jc w:val="left"/>
              <w:rPr/>
            </w:pPr>
            <w:r>
              <w:rPr/>
              <w:t> </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1324"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No effect</w:t>
            </w:r>
          </w:p>
        </w:tc>
        <w:tc>
          <w:tcPr>
            <w:tcW w:w="290" w:type="dxa"/>
            <w:tcBorders>
              <w:bottom w:val="single" w:sz="8" w:space="0" w:color="000000"/>
              <w:right w:val="single" w:sz="4" w:space="0" w:color="000000"/>
            </w:tcBorders>
            <w:tcMar>
              <w:top w:w="0" w:type="dxa"/>
              <w:left w:w="0" w:type="dxa"/>
              <w:bottom w:w="43" w:type="dxa"/>
            </w:tcMar>
            <w:vAlign w:val="center"/>
          </w:tcPr>
          <w:p>
            <w:pPr>
              <w:pStyle w:val="TableContents"/>
              <w:bidi w:val="0"/>
              <w:spacing w:before="0" w:after="283"/>
              <w:ind w:left="0" w:right="0" w:firstLine="144"/>
              <w:jc w:val="left"/>
              <w:rPr/>
            </w:pPr>
            <w:r>
              <w:rPr/>
              <w:t> </w:t>
            </w:r>
          </w:p>
        </w:tc>
        <w:tc>
          <w:tcPr>
            <w:tcW w:w="1214"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xml:space="preserve">Not applicable </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pPr>
            <w:r>
              <w:rPr/>
              <w:t> </w:t>
            </w:r>
          </w:p>
        </w:tc>
        <w:tc>
          <w:tcPr>
            <w:tcW w:w="1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(1) This proposal is considered to be a “routine” matter under NYSE rules. Accordingly, if you hold your shares in street name and do not provide voting instructions to your broker, bank or other agent that holds your shares, your broker, bank or other agent has discretionary authority to vote your shares on this proposal.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What Is An Abstention And How Will Abstentions Be Treated?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“abstention,” represents a stockholder’s affirmative choice to decline to vote on a proposal. Abstentions are counted as present and entitled to vote for purposes of determining a quorum. Abstentions will have no effect on the approval of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What Are Broker Non-Votes And Do They Count For Determining A Quorum?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Because Proposal No. 1 is a “routine” matter, there will not be any broker non-votes at the Special Meeting.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As a reminder, if you are a beneficial owner of shares held in street name,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360" w:after="283"/>
        <w:jc w:val="left"/>
        <w:rPr>
          <w:rFonts w:ascii="Times New Roman" w:hAnsi="Times New Roman"/>
          <w:sz w:val="20"/>
        </w:rPr>
      </w:pPr>
      <w:r>
        <w:rPr>
          <w:rFonts w:ascii="Times New Roman" w:hAnsi="Times New Roman"/>
          <w:b/>
          <w:color w:val="000000"/>
          <w:sz w:val="20"/>
        </w:rPr>
        <w:t>Where Can I Find The Voting Results Of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announce preliminary voting results at the Special Meeting, and we will report the final results in a Current Report on Form 8-K, which we intend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bookmarkStart w:id="6" w:name="proposal_one_election_of_directors"/>
      <w:bookmarkEnd w:id="6"/>
      <w:r>
        <w:rPr>
          <w:rFonts w:ascii="Times New Roman" w:hAnsi="Times New Roman"/>
          <w:b/>
          <w:color w:val="FC0838"/>
          <w:sz w:val="20"/>
        </w:rPr>
        <w:t>PROPOSAL NO. 1 –</w:t>
      </w:r>
      <w:r>
        <w:rPr>
          <w:rFonts w:ascii="Times New Roman" w:hAnsi="Times New Roman"/>
          <w:color w:val="FC0838"/>
          <w:sz w:val="20"/>
        </w:rPr>
        <w:t xml:space="preserve"> </w:t>
      </w:r>
      <w:r>
        <w:rPr>
          <w:rFonts w:ascii="Times New Roman" w:hAnsi="Times New Roman"/>
          <w:b/>
          <w:color w:val="FC0838"/>
          <w:sz w:val="20"/>
        </w:rPr>
        <w:t>APPROVAL OF A SERIES OF ALTERNATE AMENDMENTS TO OUR AMENDED AND RESTATED CERTIFICATE OF INCORPORATION TO EFFECT A REVERSE STOCK SPLIT OF OUR COMMON STOCK</w:t>
      </w:r>
      <w:r>
        <w:rPr>
          <w:rFonts w:ascii="Times New Roman" w:hAnsi="Times New Roman"/>
          <w:color w:val="FC0838"/>
          <w:sz w:val="20"/>
        </w:rPr>
        <w:t xml:space="preserve"> </w:t>
      </w:r>
    </w:p>
    <w:p>
      <w:pPr>
        <w:pStyle w:val="TextBody"/>
        <w:bidi w:val="0"/>
        <w:spacing w:before="240" w:after="180"/>
        <w:jc w:val="left"/>
        <w:rPr>
          <w:rFonts w:ascii="Times New Roman" w:hAnsi="Times New Roman"/>
          <w:b/>
          <w:color w:val="000000"/>
          <w:sz w:val="20"/>
        </w:rPr>
      </w:pPr>
      <w:bookmarkStart w:id="7" w:name="proposal_no_3_ratification_auditors"/>
      <w:bookmarkStart w:id="8" w:name="toc765074_10"/>
      <w:bookmarkStart w:id="9" w:name="toc765074_6"/>
      <w:bookmarkStart w:id="10" w:name="proposal_no_4_increase_authorized_cs"/>
      <w:bookmarkStart w:id="11" w:name="toc765074_13"/>
      <w:bookmarkStart w:id="12" w:name="toc765074_24"/>
      <w:bookmarkStart w:id="13" w:name="toc765074_23"/>
      <w:bookmarkStart w:id="14" w:name="toc765074_18"/>
      <w:bookmarkStart w:id="15" w:name="toc765074_8"/>
      <w:bookmarkStart w:id="16" w:name="toc765074_21"/>
      <w:bookmarkStart w:id="17" w:name="toc765074_15"/>
      <w:bookmarkStart w:id="18" w:name="toc765074_5"/>
      <w:bookmarkStart w:id="19" w:name="toc765074_22"/>
      <w:bookmarkStart w:id="20" w:name="toc765074_25"/>
      <w:bookmarkStart w:id="21" w:name="toc765074_7"/>
      <w:bookmarkStart w:id="22" w:name="toc765074_16"/>
      <w:bookmarkStart w:id="23" w:name="toc765074_12"/>
      <w:bookmarkStart w:id="24" w:name="toc765074_20"/>
      <w:bookmarkStart w:id="25" w:name="toc765074_9"/>
      <w:bookmarkStart w:id="26" w:name="toc765074_19"/>
      <w:bookmarkStart w:id="27" w:name="toc765074_14"/>
      <w:bookmarkStart w:id="28" w:name="toc765074_11"/>
      <w:bookmarkStart w:id="29" w:name="proposal_no_2_advisory_vote_exec_comp"/>
      <w:bookmarkStart w:id="30" w:name="toc765074_17"/>
      <w:bookmarkStart w:id="31" w:name="information_regarding_board"/>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Pr>
          <w:rFonts w:ascii="Times New Roman" w:hAnsi="Times New Roman"/>
          <w:b/>
          <w:color w:val="000000"/>
          <w:sz w:val="20"/>
        </w:rPr>
        <w:t>Background Regarding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Board has adopted and deemed advisable, and is recommending that our stockholders approve, a series of alternate amendments to the Company’s Amended and Restated Certificate of Incorporation, each of which would: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effect a reverse stock split, or the Reverse Stock Split, of all of the outstanding shares of our common stock at a ratio of between 1-for-5 and 1-for-15, inclusive.</w:t>
      </w:r>
    </w:p>
    <w:p>
      <w:pPr>
        <w:pStyle w:val="TextBody"/>
        <w:bidi w:val="0"/>
        <w:spacing w:before="240" w:after="180"/>
        <w:jc w:val="left"/>
        <w:rPr>
          <w:rFonts w:ascii="Times New Roman" w:hAnsi="Times New Roman"/>
          <w:sz w:val="20"/>
        </w:rPr>
      </w:pPr>
      <w:r>
        <w:rPr>
          <w:rFonts w:ascii="Times New Roman" w:hAnsi="Times New Roman"/>
          <w:color w:val="000000"/>
          <w:sz w:val="20"/>
        </w:rPr>
        <w:t xml:space="preserve">Accordingly, effecting a Reverse Stock Split would reduce the number of outstanding shares of our common stock, but will have no impact on our current number of total authorized shares. The form of the proposed amendment to our Amended and Restated Certificate of Incorporation to effect the Reverse Stock Split is attached as </w:t>
      </w:r>
      <w:r>
        <w:rPr>
          <w:rFonts w:ascii="Times New Roman" w:hAnsi="Times New Roman"/>
          <w:color w:val="000000"/>
          <w:sz w:val="20"/>
          <w:u w:val="single"/>
        </w:rPr>
        <w:t>Appendix A</w:t>
      </w:r>
      <w:r>
        <w:rPr>
          <w:rFonts w:ascii="Times New Roman" w:hAnsi="Times New Roman"/>
          <w:color w:val="000000"/>
          <w:sz w:val="20"/>
        </w:rPr>
        <w:t xml:space="preserve"> to this proxy statement. However, the text of the proposed amendment is subject to revision to include such changes as may be required by the Secretary of State of the State of Delaware and as the Board deems necessary or advisable to effect the proposed amendment of our Amended and Restated Certificate of Incorporation.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being asked to approve these proposed amendments pursuant to this Proposal No. 1, and to grant authorization to our Board to determine, in its discretion, whether to implement a Reverse Stock Split, including its specific timing and ratio.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By approving this proposal, stockholders will (i) approve a series of amendments to our Amended and Restated Certificate of Incorporation pursuant to which any whole number of outstanding shares between and including five (5) and fifteen (15) would be combined into one share of our common stock and (ii) authorize the Board to file only one such amendment, as determined by the Board in the manner described herein and to abandon each amendment not selected by the Board. The Board believes that stockholder approval granting this discretion, rather than approval of a specified stock split ratio, provides the Board with maximum flexibility to react to then-current market conditions and, therefore, is in the best interests of the Company and its stockholders. The Board may effect only one Reverse Stock Split as a result of this authorization. The Board may also elect not to execute any Reverse Stock Split. The Board’s decision as to whether and when to effect the Reverse Stock Split and determining the Reverse Stock Split ratio will be based on a number of factors, including market conditions, existing and expected trading prices and volumes for our common stock, and the continued listing requirements of The Nasdaq Global Market. Although our stockholders may approve the Reverse Stock Split, we will not effect the Reverse Stock Split if our Board does not deem it to be in the best interests of the Company and its stockholders. The Reverse Stock Split will take effect, if at all, after it is approved by a majority of the total votes cast on this proposal, is deemed by the Board to be in the best interests of the Company and its stockholders, and after filing the amendment to our Amended and Restated Certificate of Incorporation with the Secretary of State of the State of Delaware.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that approval for the Reverse Stock Split is obtained, and the Board does not execute the Reverse Stock Split within the 12-month period following the Special Meeting, further stockholder approval would be required prior to implementing any reverse stock split.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Reasons for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common stock is currently listed on The Nasdaq Global Market tier of Nasdaq. In order for our common stock to continue to be listed on The Nasdaq Global Market, we must satisfy various listing maintenance standards established by Nasdaq. If we are unable to meet the applicable listing requirements, our common stock will be subject to delisting. 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previously reported, on March 13, 2026, we received a letter from the Listing Qualifications Department of Nasdaq notifying us that the listing of our common stock was not in compliance with Nasdaq Listing Rule 5450(a)(1) (the “Minimum Bid Price Requirement”) for continued listing on the Nasdaq Global Market, as the minimum bid price of the Company’s common stock was less than $1.00 per share for the previous 30 consecutive business days. Under Nasdaq Listing Rule 5810(c)(3)(A), we had a period of 180 calendar days, or until September 9, 2026, to regain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compliance with the rule referred to in this paragraph. To regain compliance, during this 180-day compliance period, our minimum bid price of listed securities must close at $1.00 per share or more for a minimum of 10 consecutive business days. In the event that we did not regain compliance with the Nasdaq Listing Rules prior to the expiration of the 180-day compliance period, we may have been eligible for additional time to regain compliance pursuant to Nasdaq Listing Rule 5810(c)(3)(A)(ii) by transferring to the Nasdaq Capital Market. To qualify, we would need to submit a Transfer Application and a $5,000 application fee. In addition, we would be required to meet the continued listing requirement for market value of publicly held shares and all other initial listing standards for the Nasdaq Capital Market, with the exception of the Minimum Bid Price Requirement, among other requirements.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the date of this proxy statement, we have not regained compliance with the Minimum Bid Price Requirement during the initial grace period. In addition, as of the date of this proxy statement we do not believe we would be able to meet all of the initial listing standards for the Nasdaq Capital Market as required in order to be eligible for additional time to regain compliance pursuant to Nasdaq Listing Rule 5810(c)(3)(A)(ii) by transferring to the Nasdaq Capital Market. Accordingly, after the initial grace period expires on September 9, 2026, we expect that Nasdaq will provide notice that our common stock will be subject to delisting. We will have the right to appeal a determination to delist our common stock, which we intend to do, and our common stock will remain listed on the Nasdaq Global Market until the completion of the appeal process, during which time we may regain compliance of the Minimum Bid Price Requirement if our minimum bid price of listed securities closes at $1.00 per share or more for a minimum of 10 consecutive business days.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Accordingly, the Board has adopted resolutions, subject to approval by our stockholders, to amend our Amended and Restated Certificate of Incorporation to effect the Reverse Stock Split of our common stock at a ratio in the range of one-for-five to one-for-fifteen with such ratio to be determined in the discretion of the Board. These resolutions were approved as a means of regaining compliance with the Minimum Bid Price Requirement.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Global Market and generate greater investor interest in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Board believes that maintaining the listing of our common stock on The Nasdaq Global Market is in the best interests of the Company and its stockholders. If our common stock were to be delisted from The Nasdaq Global Market, the Board believes that such delisting could adversely affect the market liquidity of our common stock, decrease the market price of our common stock, adversely affect our ability to obtain financing for the continuation of our operations and exploration of strategic alternatives to enhance stockholder value, and result in the loss of confidence in the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Reverse Stock Split is approved by our stockholders and implemented by the Board, we expect to satisfy the $1.00 per share Minimum Bid Price Requirement for continued listing on the Nasdaq Global Market. However, despite the approval of the Reverse Stock Split by our stockholders and implementation by the Board, there can be no assurance that the Reverse Stock Split will result in our meeting and maintaining the $1.00 Minimum Bid Price Requirement. The effect of the Reverse Stock Split upon the market price for our common stock cannot be predicted, and the history of similar reverse stock splits for companies in like circumstances is varied. The market price per share of our common stock after the Reverse Stock Split may not rise in proportion to the reduction in the number of shares of our common stock outstanding resulting from the Reverse Stock Split due to, among other reasons, our performance and other factors that may be unrelated to the number of shares outstanding. Our common stock could also be delisted from The Nasdaq Global Market due to our failure to comply with one or more other Nasdaq listing rules.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Criteria to be Used for Decision to Implement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event that approval for the Reverse Stock Split is obtained, our Board will be authorized to proceed with the Reverse Stock Split at any time during the 12-month period following the Special Meeting. If we regain compliance with the Minimum Bid Price Requirement prior to September 9, 2026, our Board may use its discretion to not carry out or to delay in carrying out the Reverse Stock Split.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event our Board delays its decision to execute the Reverse Stock Split because the Company has regained compliance with the Minimum Bid Price Requirement, if our common stock price again falls below $1.00 for 30-days during the 12-month period following the Special Meeting, and therefore again fails to comply with the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Nasdaq Global Market minimum listing requirements, then the Reverse Stock Split may be executed as a cure for this condition.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Principal Effects Of Reverse Stock Split on Our Outstanding Common Stock and Authorized but Unissued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illustrates the effects of a 1-for-5, 1-for-10 and 1-for-15 Reverse Stock Split on our outstanding common stock as of June 30, 2026, without giving effect to any adjustments for fractional shares and information regarding our authorized shares based on the corresponding proportionate Authorized Shares Reduction:</w:t>
      </w:r>
    </w:p>
    <w:tbl>
      <w:tblPr>
        <w:tblW w:w="10205" w:type="dxa"/>
        <w:jc w:val="left"/>
        <w:tblInd w:w="0" w:type="dxa"/>
        <w:tblLayout w:type="fixed"/>
        <w:tblCellMar>
          <w:top w:w="28" w:type="dxa"/>
          <w:left w:w="28" w:type="dxa"/>
          <w:bottom w:w="28" w:type="dxa"/>
          <w:right w:w="28" w:type="dxa"/>
        </w:tblCellMar>
      </w:tblPr>
      <w:tblGrid>
        <w:gridCol w:w="3844"/>
        <w:gridCol w:w="146"/>
        <w:gridCol w:w="146"/>
        <w:gridCol w:w="1141"/>
        <w:gridCol w:w="146"/>
        <w:gridCol w:w="146"/>
        <w:gridCol w:w="146"/>
        <w:gridCol w:w="1141"/>
        <w:gridCol w:w="146"/>
        <w:gridCol w:w="146"/>
        <w:gridCol w:w="146"/>
        <w:gridCol w:w="1141"/>
        <w:gridCol w:w="146"/>
        <w:gridCol w:w="146"/>
        <w:gridCol w:w="146"/>
        <w:gridCol w:w="1141"/>
        <w:gridCol w:w="191"/>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Reverse Stock Split 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31,729,792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Authorized but Unissued and Unreserved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92,367,112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258,473,423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279,236,712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286,157,808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The common stock issued pursuant to the Reverse Stock Split will remain fully paid and non-assessable. The Reverse Stock Split is not intended as, and will not have the effect of, a “going private transaction” covered by Rule 13e-3 under the Securities Exchange Act of 1934. We will continue to be subject to the periodic reporting requirements of the Securities Exchange Act of 1934.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principal effects of a Reverse Stock Split will be that: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five (5) to fifteen (15) shares of our common stock owned by a stockholder (depending on the Reverse Stock Split ratio selected by the Board), will be combined into one new share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number of shares then reserved for issuance under our equity compensation plans will be reduced proportionately based upon the Reverse Stock Split ratio selected by the Board (as described below).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authorized capital stock currently consists of 300,000,000 shares of common stock, par value $0.00001 per share, and 10,000,000 shares of preferred stock, par value $0.00001 per share. Although the Reverse Stock Split will not affect the rights of stockholders or any stockholder’s proportionate ownership interest in the Company (except as a result of the treatment of fractional shares), the number of authorized shares of our common stock and preferred stock will not be reduced. If the Reverse Stock Split is implemented, the number of authorized shares of common stock would remain at 300,000,000 shares, thereby effectively increasing the number of shares of common stock available for future issuance. The total number of authorized shares of preferred stock would remain at 10,000,000 shares. As illustrated by the table above, the Reverse Stock Split would increase the ability of our Board to issue authorized and unissued shares in the future without further stockholder action. The issuance in the future of such additional authorized shares may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diluting the earnings or loss per share and book value per share, as well as the ownership and voting rights of the holders of our then-outstanding shares of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Principal Effects of the Reverse Stock Split on Our Outstanding Equity Awards and Future Awards under Our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2011 Stock Incentive Plan, 2024 Incentive Award Plan and 2024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June 30, 2026, there were outstanding stock options to purchase an aggregate of 19,389,492 shares of common stock, at a weighted average exercise price of $3.60 per share. Assuming, for example, a 1-for-10 Reverse Stock Split, the number of shares covered by outstanding options will be reduced to one-tenth the number currently issuable, and the exercise price of outstanding options will be increased by ten times the current exercise price, rounded up to the nearest cent.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Effective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No. 1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No. 1.</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Cash Payment in Lieu of Fractional Shares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the common stock on The Nasdaq Global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August 21, 2026, there were 47 stockholders of record of our common stock, which number of record holders includes those holders who are deemed record holders for purposes of the Exchange Act. Upon stockholder approval of this Proposal No.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the Company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Record and Beneficial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this Proposal No. 1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this Proposal No.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STOCKHOLDERS SHOULD NOT DESTROY ANY PRE-SPLIT STOCK CERTIFICATE AND SHOULD NOT SUBMIT ANY CERTIFICATES UNTIL THEY ARE REQUESTED TO DO SO.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Potential Anti-Takeover Effect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Reverse Stock Split would result in an increased proportion of unissued authorized shares to issued shares, which could,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Accounting Matters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Possible Disadvantages of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though the Board believes that the potential advantages of the Reverse Stock Split outweigh any disadvantages that might result, the following are some of the possible disadvantages of a Reverse Stock Split: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reduced number of shares of our common stock resulting from a Reverse Stock Split could adversely affect the liquidity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Reverse Stock Split could result in a significant devaluation of our market capitalization and the trading price of our common stock, on an actual or an as-adjusted basis, based on the experience of other companies that have effected reverse stock splits.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Reverse Stock Split may leave certain stockholders with one or more “odd lots,” which are stock holdings in amounts of less than 100 shares of our common stock. These odd lots may be more difficult to sell than shares of common stock in even multiples of 100. Additionally, any reduction in brokerage commissions resulting from the Reverse Stock Split may be offset, in whole or in part, by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brokerage commissions required to be paid by stockholders selling odd lots created by the Reverse Stock Split.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market price per new share of our common stock after the Reverse Stock Split will increase in proportion to the reduction in the number of old shares of our common stock outstanding before the Reverse Stock Split. For example, based on the closing market price of our common stock on August 12, 2026 of $0.696 per share of common stock, if the stockholders approve this proposal and the Board selects and implements a Reverse Stock Split ratio of 1-for-10, there can be no assurance that the post-split market price of our common stock would be $6.96 per share or greater.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Reverse Stock Split is effected and the market price of our common stock declines, the percentage decline may be greater than would occur in the absence of a Reverse Stock Split. The market price of our common stock will, however, also be based on our performance and other factors, which are unrelated to the number of shares outstanding.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Procedure for Effecting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our stockholders approve the Reverse Stock Split, the Reverse Stock Split would become effective at such time as it is deemed by our Board to be in the best interests of the Company and its stockholders and we file the amendment to our Amended and Restated Certificate of Incorporation with the Secretary of State of Delaware. Even if the Reverse Stock Split is approved by our stockholders, the Board has discretion not to carry out, or to delay in carrying out, the Reverse Stock Split. Upon the filing of the amendment, all of our old common stock will be converted into new common stock as set forth in the amendment. As soon as practicable after the effective time of the Reverse Stock Split, stockholders will be notified that the Reverse Stock Split has been effected.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of our registered holders hold their shares electronically in book-entry form with our transfer agent. These stockholders do not have stock certificates evidencing their ownership of the common stock. They are, however, provided with a statement reflecting the number of shares registered in their accounts. If you hold registered shares in book-entry form with our transfer agent, no action needs to be taken to receive shares of common stock following the Reverse Stock Split. If a stockholder is entitled to shares following the Reverse Stock Split, a transaction statement will automatically be sent to the stockholder’s address of record indicating the number of shares of common stock held following the Reverse Stock Split.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 Dissenters’ or Appraisal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the Delaware General Corporation Law, our stockholders are not entitled to dissenters’ or appraisal rights with respect to our proposed amendment to our Amended and Restated Certificate of Incorporation to effect the Reverse Stock Split and we will not independently provide our stockholders with any such right.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Certain Material U.S. Federal Income Tax Consequences of the Reverse Stock Split to U.S. 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promulgated thereunder, administrative rulings and pronouncements of the Internal Revenue Service (“IRS”), and judicial decisions, each as in effect as of the date of this proxy statement and all of which are subject to change or differing interpretations. Any such change or differing interpretation, which may or may not be retroactive, could alter the tax consequences described herein. This discussion is included for general informational purposes only and does not purport to consider all aspects of U.S. federal income taxation that might be relevant to a U.S. Holder. This summary, except for the discussion under “Information Reporting and Backup Withholding” below, is limited to stockholders who are U.S. Holders (as defined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stockholders that own or have owned, actually or constructively, more than 5% of our common stock,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any alternative minimum tax, the Medicare contribution tax on net investment income, the special tax accounting rules under Section 451(b) of the Code, the tax consequences of transactions effectuated prior or subsequent to, or concurrently with, the Reverse Stock Split (whether or not any such transactions are consummated in connection with the Reverse Stock Split), or the tax consequences to holders of options, warrants or other rights to acquire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purposes of this discussion, a “U.S. Holder” means a beneficial owner of shares of our common stock that is any of the following:</w:t>
      </w:r>
    </w:p>
    <w:p>
      <w:pPr>
        <w:pStyle w:val="TextBody"/>
        <w:bidi w:val="0"/>
        <w:jc w:val="left"/>
        <w:rPr/>
      </w:pPr>
      <w:r>
        <w:rPr>
          <w:color w:val="000000"/>
        </w:rPr>
        <w:t xml:space="preserve"> </w:t>
      </w:r>
      <w:r>
        <w:rPr>
          <w:rFonts w:ascii="Times New Roman" w:hAnsi="Times New Roman"/>
          <w:color w:val="000000"/>
          <w:sz w:val="20"/>
        </w:rPr>
        <w:t>an individual who is a citizen or resident of the United States or treated as a U.S. citizen or resident for U.S. federal income tax purposes;</w:t>
      </w:r>
    </w:p>
    <w:p>
      <w:pPr>
        <w:pStyle w:val="TextBody"/>
        <w:bidi w:val="0"/>
        <w:spacing w:before="120" w:after="283"/>
        <w:jc w:val="left"/>
        <w:rPr/>
      </w:pPr>
      <w:r>
        <w:rPr>
          <w:color w:val="000000"/>
        </w:rPr>
        <w:t xml:space="preserve"> </w:t>
      </w:r>
      <w:r>
        <w:rPr>
          <w:rFonts w:ascii="Times New Roman" w:hAnsi="Times New Roman"/>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120" w:after="283"/>
        <w:jc w:val="left"/>
        <w:rPr/>
      </w:pPr>
      <w:r>
        <w:rPr>
          <w:color w:val="000000"/>
        </w:rPr>
        <w:t xml:space="preserve"> </w:t>
      </w:r>
      <w:r>
        <w:rPr>
          <w:rFonts w:ascii="Times New Roman" w:hAnsi="Times New Roman"/>
          <w:color w:val="000000"/>
          <w:sz w:val="20"/>
        </w:rPr>
        <w:t>an estate, the income of which is subject to U.S. federal income taxation regardless of its source; or</w:t>
      </w:r>
    </w:p>
    <w:p>
      <w:pPr>
        <w:pStyle w:val="TextBody"/>
        <w:bidi w:val="0"/>
        <w:spacing w:before="120" w:after="180"/>
        <w:jc w:val="left"/>
        <w:rPr/>
      </w:pPr>
      <w:r>
        <w:rPr>
          <w:color w:val="000000"/>
        </w:rPr>
        <w:t xml:space="preserve"> </w:t>
      </w:r>
      <w:r>
        <w:rPr>
          <w:rFonts w:ascii="Times New Roman" w:hAnsi="Times New Roman"/>
          <w:color w:val="000000"/>
          <w:sz w:val="20"/>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Treasury Regulations to be treated as a United States person for U.S. federal income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therein should consult their tax advisors regarding the tax consequences to them of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view regarding the tax consequences of the Reverse Stock Split is not binding with the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STOCKHOLDERS SHOULD CONSULT THEIR TAX ADVISORS WITH RESPECT TO THE APPLICATION OF THE U.S. FEDERAL INCOME TAX LAWS TO THEIR PARTICULAR SITUATIONS AS WELL AS ANY TAX CONSEQUENCES OF THE REVERSE STOCK SPLIT ARISING UNDER U.S. FEDERAL NON-INCOME TAX LAWS, THE LAWS OF ANY STATE, LOCAL OR NON-U.S. TAXING JURISDICTION OR ANY APPLICABLE INCOME TAX TREATY.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Tax Consequences of the Reverse Stock Split</w:t>
      </w:r>
    </w:p>
    <w:p>
      <w:pPr>
        <w:pStyle w:val="TextBody"/>
        <w:bidi w:val="0"/>
        <w:jc w:val="left"/>
        <w:rPr>
          <w:rFonts w:ascii="Times New Roman" w:hAnsi="Times New Roman"/>
          <w:color w:val="000000"/>
          <w:sz w:val="20"/>
        </w:rPr>
      </w:pPr>
      <w:r>
        <w:rPr>
          <w:rFonts w:ascii="Times New Roman" w:hAnsi="Times New Roman"/>
          <w:color w:val="000000"/>
          <w:sz w:val="20"/>
        </w:rPr>
        <w:t>We intend to treat the Reverse Stock Split as a “recapitalization” for U.S. federal income tax purposes and any cash in lieu of fractional will be solely to spare us the expense and inconvenience of issuing fractional shares and will not represent separately bargained for consideration paid to a U.S. Holder. A U.S. Holder that receives solely a reduced number of shares of common stock generally will not recognize gain or loss in the Reverse Stock Split. A U.S. Holder’s aggregate tax basis in the reduced number of shares of common stock received pursuant to the Reverse Stock Split should equal the U.S. Holder’s aggregate tax basis in its pre-Reverse Stock Split shares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such as the Reverse Stock Split. U.S. Holders should consult their tax advisors as to application of the foregoing rules where shares of common stock were acquired at different times or at different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U.S. Holder that receives both a reduced number of shares of common stock and cash in lieu of fractional shares as a result of the Reverse Stock Split will be treated as having received the fractional shares pursuant to the Reverse Stock Split and then as having exchanged the fractional shares for cash in a redemption by the Company, and generally should recognize capital gain or loss equal to the difference, if any, between the amount of cash received in lieu of a fractional share and its adjusted basis allocable to the fractional share. Such gain or loss will be long-term capital gain or loss if the pre-Reverse Stock Split shares were held for more than one year at the time of the Reverse Stock Split. Long-term capital gains of individuals are generally subject to tax at reduced rates. There are limitations on the deductibility of capital losses. A U.S. Holder’s aggregate tax basis in the reduced number of shares of common stock, if any, generally should equal the U.S. Holder’s aggregate tax basis in its pre-Reverse Stock Split shares of common stock decreased by the basis allocated to the fractional share for which such U.S. Holder received cash, and the holding period of the reduced number of shares of common stock received generally should include the holding period of the pre-Reverse Stock Split shares of common stock exchanged.</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No gain or loss will be recognized by the Company as a result of the proposed Reverse Stock Split.</w:t>
      </w:r>
    </w:p>
    <w:p>
      <w:pPr>
        <w:pStyle w:val="TextBody"/>
        <w:bidi w:val="0"/>
        <w:spacing w:before="0" w:after="180"/>
        <w:jc w:val="left"/>
        <w:rPr>
          <w:rFonts w:ascii="Times New Roman" w:hAnsi="Times New Roman"/>
          <w:b/>
          <w:color w:val="000000"/>
          <w:sz w:val="20"/>
          <w:u w:val="single"/>
        </w:rPr>
      </w:pPr>
      <w:r>
        <w:rPr>
          <w:rFonts w:ascii="Times New Roman" w:hAnsi="Times New Roman"/>
          <w:b/>
          <w:color w:val="000000"/>
          <w:sz w:val="20"/>
          <w:u w:val="single"/>
        </w:rPr>
        <w:t>Information Reporting and Backup Withholding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Backup withholding is not an additional tax. Any amounts withheld under the backup withholding rules generally will be allowed as a refund or credit against a U.S. Holder’s U.S. federal income tax liability, provided the required information is timely and properly furnished to the IRS. Holders of common stock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the applicability and effect of any U.S. federal, state, local and non-U.S. tax laws, and the impact of any potential change in tax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affirmative vote of holders of a majority of the total votes cast on the proposal will be required to approve the amendment of our Amended and Restated Certificate of Incorporation to effect a Reverse Stock Split of our common stock at a ratio in the range of one-for-five to one-for-fifteen, such ratio to be determined in the discretion of our Board. Abstentions are not treated as votes cast and, therefore, will have no effect.</w:t>
      </w:r>
    </w:p>
    <w:p>
      <w:pPr>
        <w:pStyle w:val="TextBody"/>
        <w:bidi w:val="0"/>
        <w:spacing w:before="300" w:after="283"/>
        <w:jc w:val="center"/>
        <w:rPr>
          <w:rFonts w:ascii="Times New Roman" w:hAnsi="Times New Roman"/>
          <w:sz w:val="20"/>
        </w:rPr>
      </w:pPr>
      <w:bookmarkStart w:id="32" w:name="board_recommendation"/>
      <w:bookmarkEnd w:id="32"/>
      <w:r>
        <w:rPr>
          <w:rFonts w:ascii="Times New Roman" w:hAnsi="Times New Roman"/>
          <w:b/>
          <w:color w:val="000000"/>
          <w:sz w:val="20"/>
        </w:rPr>
        <w:t>THE BOARD OF DIRECTORS RECOMMENDS</w:t>
        <w:br/>
        <w:t>A VOTE "</w:t>
      </w:r>
      <w:r>
        <w:rPr>
          <w:rFonts w:ascii="Times New Roman" w:hAnsi="Times New Roman"/>
          <w:b/>
          <w:color w:val="000000"/>
          <w:sz w:val="20"/>
          <w:u w:val="single"/>
        </w:rPr>
        <w:t>FOR</w:t>
      </w:r>
      <w:r>
        <w:rPr>
          <w:rFonts w:ascii="Times New Roman" w:hAnsi="Times New Roman"/>
          <w:b/>
          <w:color w:val="000000"/>
          <w:sz w:val="20"/>
        </w:rPr>
        <w:t>" PROPOSAL NO. 1.</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biography"/>
      <w:bookmarkEnd w:id="33"/>
      <w:r>
        <w:rPr>
          <w:rFonts w:ascii="Times New Roman" w:hAnsi="Times New Roman"/>
          <w:b/>
          <w:color w:val="FC0838"/>
          <w:sz w:val="20"/>
        </w:rPr>
        <w:t xml:space="preserve">SECURITY OWNERSHIP OF CERTAIN </w:t>
      </w:r>
      <w:bookmarkStart w:id="34" w:name="security_ownership_of_certain_beneficial"/>
      <w:bookmarkEnd w:id="34"/>
      <w:r>
        <w:rPr>
          <w:rFonts w:ascii="Times New Roman" w:hAnsi="Times New Roman"/>
          <w:b/>
          <w:color w:val="FC0838"/>
          <w:sz w:val="20"/>
        </w:rPr>
        <w:t>BENEFICIAL OWNERS AND MANAGEMENT</w:t>
      </w:r>
      <w:r>
        <w:rPr>
          <w:rFonts w:ascii="Times New Roman" w:hAnsi="Times New Roman"/>
          <w:color w:val="FC0838"/>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information as of July 31, 2026 with respect to the beneficial ownership of our common stock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5% or more of our outstanding shares of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our named executive officers;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our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Percentage ownership of our common stock is based on 158,648,963 shares of our common stock outstanding as of July 31, 2026. In computing the number of shares beneficially owned by an individual or entity and the percentage ownership of that person, shares of common stock subject to options, restricted stock units, warrants or other rights held by such person that are currently exercisable or vested, or will become exercisable or vest within 60 days of July 31, 2026 are considered outstanding, although these shares are not considered outstanding for purposes of computing the percentage ownership of any other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noted otherwise, the address of all listed stockholders is c/o Fractyl Health, Inc., 3 Van de Graaff Drive, Suite 200, Burlington, Massachusetts 01803.</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5716"/>
        <w:gridCol w:w="146"/>
        <w:gridCol w:w="146"/>
        <w:gridCol w:w="1036"/>
        <w:gridCol w:w="146"/>
        <w:gridCol w:w="146"/>
        <w:gridCol w:w="218"/>
        <w:gridCol w:w="698"/>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Nantahala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Harith Rajagopalan, M.D., Ph.D.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Jay D. Caplan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Sarah Toomey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Ajay Royan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Kelly Barnes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W. Bradley</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Marc Elia</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Clive Meanwell, M.B., Ch.B.,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Conaway</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C. Thompson, M.D., MSc.</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Ian Sheffield</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current executive officers and directors as a group (12 persons)</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Represents beneficial ownership of less than 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13G/A filed on May 15, 2026. Consists of (i) 13,364,519 shares of common stock held by Nantahala Capital Management, LLC; and (ii) 2,760,261 shares of common stock issuable to Nantahala Capital Management, LLC upon exercise of warrants to purchase the Company's common stock (which reflects the beneficial ownership blocker described below). Wilmot B. Harkey and Daniel Mack are the Managing Members of Nantahala Capital Management, LLC and may be deemed to have voting and dispositive power over the shares held by the entity. The warrants held by Nantahala Capital Management, LLC prohibit the exercise thereof if, after giving effect to such exercise, the beneficial ownership of Nantahala Capital Management, LLC and its affiliates and any person whose beneficial ownership would be attributable to such entities, would exceed 9.99%. The principal business address of Nantahala Capital Management, LLC is 130 Main Street, 2nd Floor, New Canaan, CT 06840.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540,557 shares of common stock held by Harith Rajagopalan; (ii) 602,980 shares of common stock held by various family trusts for which Dr. Rajagopalan serves as the investment advisor and, as a result, exercises voting and dispositive power with respect to such shares; and (iii) 1,487,439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153,544 shares of common stock held by Jay D. Caplan; (ii) 477,616 shares of common stock held by various family trusts for which Mr. Caplan serves as the investment advisor and, as a result, exercises voting and dispositive power with respect to such shares; and (iii) 285,228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5,740 shares of common stock; and (ii) 387,637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Based on a Schedule 13G filed on February 12, 2026, and information known to the Company. Consists of (i) 40,901 shares of common stock held by Ajay Royan; (ii) 52,500 shares of common stock underlying options currently exercisable or exercisable within 60 days of July 31, 2026; (iii) 5,160,301 shares of common stock held by Mithril LP; and (iv) 1,251,900 shares of common stock held by Mithril II LP. Mithril GP LP is the general partner of Mithril LP and Mithril GP LP may be deemed to have shared voting, investment and dispositive power with respect to the securities held by Mithril LP. Mithril II UGP LLC is the general partner of Mithril II GP LP, which is the general partner of Mithril II LP and each of Mithril II UGP LLC and Mithril II GP LP may be deemed to have shared voting, investment and dispositive power with respect to the securities held by Mithril II LP. Ajay Royan is the authorized person of Mithril GP LP and is the sole managing member of Mithril II UGP LLC. Ajay Royan and Peter Thiel are the members of the investment committee of Mithril GP LP and the members of the investment committee established by Mithril II GP LP, respectively. Each of the investment committees makes all investment decisions with respect to the shares held by each of Mithril LP and Mithril II LP, respectively, and may be deemed to have shared voting, investment and dispositive power with respect to the securities held by each of Mithril LP and Mithril II LP. The address of the principal offices of each of these entities is c/o Mithril Capital Management LLC, 111 Congress Avenue, Suite 500, Austin, TX 78701.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31,000 shares of common stock; and (ii) 108,417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84,622 shares of common stock; (ii) 285,017 shares of common stock underlying options currently exercisable or exercisable within 60 days of July 31, 2026; and (iii) 186,393 shares of common stock underlying options currently exercisable or exercisable within 60 days of July 31, 2026 held of record by the Hillcrest Irrevocable Trust, of which Senator Bradley serves as sole trustee.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52,500 shares of common stock underlying options currently exercisable or exercisable within 60 days of July 31, 2026; (ii) 1,411,493 shares of common stock held by M28 Capital Master Fund LP (“M28 Capital”); and (iii) 444,624 shares of common stock held by Sparviero LP. Marc Elia is a managing member of M28 Capital Fund GP LLC, the general partner of M28 Capital and Sparviero LP,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and, as a result, may be deemed to share voting and investment power with respect to the shares held by each. Mr. Elia disclaims beneficial ownership of such shares except to the extent of his pecuniary interest therein. The address of M28 Capital and Sparviero LP is 700 Canal Street, 2nd Floor, Stamford, Connecticut 06902.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52,500 shares of common stock underlying options currently exercisable or exercisable within 60 days of July 31, 2026; and (ii) 277,890 shares of common stock held by Population Health Capital Partners II, L.P. (“PHPII”). Clive Meanwell, M.B., Ch.B., M.D., is the Founder of Population Health Partners GP, LLC, the general partner of PHPII, and, as a result, may be deemed to share voting and investment power with respect to the shares held by PHPII. Dr. Meanwell disclaims beneficial ownership of such shares except to the extent of his pecuniary interest therein. The address of PHPII is 50 Mountaintop Road, Bernardsville, New Jersey 07924.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52,500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15,000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35,000 shares of common stock; and (ii) 15,000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10,538,168 shares of common stock; and (ii) 2,980,131 shares of common stock underlying options currently exercisable or exercisable within 60 days as of July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b/>
          <w:color w:val="FC0838"/>
          <w:sz w:val="20"/>
        </w:rPr>
      </w:pPr>
      <w:bookmarkStart w:id="35" w:name="additional_information"/>
      <w:bookmarkEnd w:id="35"/>
      <w:r>
        <w:rPr>
          <w:rFonts w:ascii="Times New Roman" w:hAnsi="Times New Roman"/>
          <w:b/>
          <w:color w:val="FC0838"/>
          <w:sz w:val="20"/>
        </w:rPr>
        <w:t>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who intend to have a proposal considered for inclusion in our proxy materials for presentation at our 2027 annual meeting of stockholders pursuant to Rule 14a-8 under the Exchange Act must submit the proposal to us at our principal executive offices, 3 Van de Graaff Drive, Suite 200, Burlington, Massachusetts 01803. Any proposal submitted pursuant to Rule 14a-8 must be received by us no later than December 26, 2026. We suggest that proponents submit their Rule 14a-8 proposals by certified mail, return receipt requested, addressed to our Corporate Secretary, Sarah Toomey.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2027 annual meeting of stockholders, a notice of the nomination or the matter the stockholder wishes to present at the meeting must be in writing and delivered to or mailed and received by our Corporate Secretary at our principal executive offices not later than March 11, 2027 and not before February 9, 2027. However, if the 2027 annual meeting of stockholders is more than 30 days earlier or more than 60 days after the anniversary of the Annual Meeting, notice must be so delivered or mailed and received not later than the 90th day prior to the 2027 annual meeting or, if later, the 10th day following the day on which public disclosure of the date of the 2027 annual meeting was first made by us. Our Bylaws also specify requirements relating to the content of the notice that stockholders must provide in order for a director nomination or other proposal to be properly presented at the 2027 annual meeting of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satisfying the foregoing requirements under our Bylaws, to comply with the universal proxy rules, any notice of director nomination submitted to the Company must include the additional information required by Rule 14a-19(b) under the Exchange Act. </w:t>
      </w:r>
    </w:p>
    <w:p>
      <w:pPr>
        <w:pStyle w:val="TextBody"/>
        <w:bidi w:val="0"/>
        <w:spacing w:before="360" w:after="283"/>
        <w:jc w:val="left"/>
        <w:rPr>
          <w:rFonts w:ascii="Times New Roman" w:hAnsi="Times New Roman"/>
          <w:sz w:val="20"/>
        </w:rPr>
      </w:pPr>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for the Special Meeting or in the future, contact Broadridge Financial Solutions, Inc. at 1-866-540-7095 or in writing at Broadridge, Householding Department, 51 Mercedes Way, Edgewood, New York 11717.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are currently a stockholder sharing an address with another stockholder and wish to receive only one copy of future proxy materials for your household, please contact Broadridge at the above phone number or address. </w:t>
      </w:r>
    </w:p>
    <w:p>
      <w:pPr>
        <w:pStyle w:val="TextBody"/>
        <w:bidi w:val="0"/>
        <w:spacing w:before="360" w:after="283"/>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is not aware of any matter to be presented for action at the Special Meeting other than the matters referred to above and does not intend to bring any other matters before the Special Meeting. However, if other matters should properly come before the Special Meeting, it is intended that holders of the proxies will vote thereon in their discretion. </w:t>
      </w:r>
    </w:p>
    <w:p>
      <w:pPr>
        <w:pStyle w:val="TextBody"/>
        <w:bidi w:val="0"/>
        <w:spacing w:before="360" w:after="283"/>
        <w:jc w:val="left"/>
        <w:rPr>
          <w:rFonts w:ascii="Times New Roman" w:hAnsi="Times New Roman"/>
          <w:sz w:val="20"/>
        </w:rPr>
      </w:pPr>
      <w:r>
        <w:rPr>
          <w:rFonts w:ascii="Times New Roman" w:hAnsi="Times New Roman"/>
          <w:b/>
          <w:color w:val="000000"/>
          <w:sz w:val="20"/>
        </w:rPr>
        <w:t>Solicitation of Proxies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proxy is solicited by and on behalf of our Board, whose notice of meeting is attached to this proxy statement, and the entire cost of such solicitation will be borne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use of the mail, proxies may be solicited by personal interview, telephone and email by directors, officers and other employees of Fractyl Health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Stockholders may obtain our proxy statement (and any amendments and supplements thereto) and other documents as and when filed with the SEC without charge from the SEC’s website at: www.sec.gov.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240" w:after="283"/>
        <w:jc w:val="both"/>
        <w:rPr>
          <w:rFonts w:ascii="Times New Roman" w:hAnsi="Times New Roman"/>
          <w:sz w:val="20"/>
        </w:rPr>
      </w:pPr>
      <w:r>
        <w:rPr>
          <w:rFonts w:ascii="Times New Roman" w:hAnsi="Times New Roman"/>
          <w:b/>
          <w:color w:val="000000"/>
          <w:sz w:val="20"/>
        </w:rPr>
        <w:t>WE WILL FURNISH, WITHOUT CHARGE, A COPY OF OUR PROXY MATERIALS, INCLUDING CONSOLIDATED FINANCIAL STATEMENTS BUT NOT INCLUDING EXHIBITS, TO EACH OF OUR STOCKHOLDERS OF RECORD AT THE CLOSE OF BUSINESS ON THE RECORD DATE, AND TO EACH BENEFICIAL STOCKHOLDER ON THAT DATE UPON WRITTEN REQUEST MADE TO OUR CORPORATE SECRETARY AT 3 VAN DE GRAAFF DRIVE, SUITE 200, BURLINGTON, MASSACHUSETTS 01803. A REASONABLE FEE WILL BE CHARGED FOR COPIES OF REQUESTED EXHIBITS.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WHETHER OR NOT YOU PLAN TO ATTEND THE VIRTUAL SPECIAL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SPECIAL MEETING AND WILL SAVE US THE EXPENSE OF FURTHER SOLICITATION.</w:t>
      </w:r>
      <w:r>
        <w:rPr>
          <w:rFonts w:ascii="Times New Roman" w:hAnsi="Times New Roman"/>
          <w:color w:val="000000"/>
          <w:sz w:val="20"/>
        </w:rPr>
        <w:t xml:space="preserve"> </w:t>
      </w:r>
    </w:p>
    <w:tbl>
      <w:tblPr>
        <w:tblW w:w="3994" w:type="dxa"/>
        <w:jc w:val="left"/>
        <w:tblInd w:w="0" w:type="dxa"/>
        <w:tblLayout w:type="fixed"/>
        <w:tblCellMar>
          <w:top w:w="28" w:type="dxa"/>
          <w:left w:w="28" w:type="dxa"/>
          <w:bottom w:w="28" w:type="dxa"/>
          <w:right w:w="28" w:type="dxa"/>
        </w:tblCellMar>
      </w:tblPr>
      <w:tblGrid>
        <w:gridCol w:w="161"/>
        <w:gridCol w:w="146"/>
        <w:gridCol w:w="146"/>
        <w:gridCol w:w="35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240" w:after="283"/>
              <w:jc w:val="left"/>
              <w:rPr/>
            </w:pPr>
            <w:r>
              <w:rPr/>
              <w:drawing>
                <wp:inline distT="0" distB="0" distL="0" distR="0">
                  <wp:extent cx="2162175"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62175" cy="276225"/>
                          </a:xfrm>
                          <a:prstGeom prst="rect">
                            <a:avLst/>
                          </a:prstGeom>
                        </pic:spPr>
                      </pic:pic>
                    </a:graphicData>
                  </a:graphic>
                </wp:inline>
              </w:drawing>
            </w:r>
          </w:p>
          <w:p>
            <w:pPr>
              <w:pStyle w:val="TableContents"/>
              <w:bidi w:val="0"/>
              <w:spacing w:before="0" w:after="283"/>
              <w:jc w:val="left"/>
              <w:rPr>
                <w:color w:val="000000"/>
              </w:rPr>
            </w:pPr>
            <w:r>
              <w:rPr>
                <w:color w:val="000000"/>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Sarah Toomey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Counsel and Corporate Secretary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24, 2026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sz w:val="20"/>
        </w:rPr>
      </w:pPr>
      <w:bookmarkStart w:id="36" w:name="appendix_a"/>
      <w:bookmarkEnd w:id="36"/>
      <w:r>
        <w:rPr>
          <w:rFonts w:ascii="Times New Roman" w:hAnsi="Times New Roman"/>
          <w:b/>
          <w:caps/>
          <w:color w:val="000000"/>
          <w:sz w:val="20"/>
        </w:rPr>
        <w:t>APPENDIX A</w:t>
      </w:r>
      <w:r>
        <w:rPr>
          <w:rFonts w:ascii="Times New Roman" w:hAnsi="Times New Roman"/>
          <w:caps/>
          <w:color w:val="000000"/>
          <w:sz w:val="20"/>
        </w:rPr>
        <w:t xml:space="preserve"> </w:t>
      </w:r>
    </w:p>
    <w:p>
      <w:pPr>
        <w:pStyle w:val="TextBody"/>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FRACTYL HEALTH, INC.</w:t>
      </w:r>
    </w:p>
    <w:p>
      <w:pPr>
        <w:pStyle w:val="TextBody"/>
        <w:bidi w:val="0"/>
        <w:spacing w:before="0" w:after="240"/>
        <w:jc w:val="both"/>
        <w:rPr>
          <w:rFonts w:ascii="Times New Roman" w:hAnsi="Times New Roman"/>
          <w:sz w:val="20"/>
        </w:rPr>
      </w:pPr>
      <w:r>
        <w:rPr>
          <w:rFonts w:ascii="Times New Roman" w:hAnsi="Times New Roman"/>
          <w:color w:val="000000"/>
          <w:sz w:val="20"/>
        </w:rPr>
        <w:t>Fractyl Health, Inc., a corporation organized and existing under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certifies: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The name of the corporation is Fractyl Health, Inc. (the “</w:t>
      </w:r>
      <w:r>
        <w:rPr>
          <w:rFonts w:ascii="Times New Roman" w:hAnsi="Times New Roman"/>
          <w:color w:val="000000"/>
          <w:sz w:val="20"/>
          <w:u w:val="single"/>
        </w:rPr>
        <w:t>Corporation</w:t>
      </w:r>
      <w:r>
        <w:rPr>
          <w:color w:val="000000"/>
        </w:rPr>
        <w:t>”</w:t>
      </w:r>
      <w:r>
        <w:rPr>
          <w:rFonts w:ascii="Times New Roman" w:hAnsi="Times New Roman"/>
          <w:color w:val="000000"/>
          <w:sz w:val="2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80"/>
        <w:jc w:val="both"/>
        <w:rPr/>
      </w:pPr>
      <w:r>
        <w:rPr>
          <w:rFonts w:ascii="Times New Roman" w:hAnsi="Times New Roman"/>
          <w:color w:val="000000"/>
          <w:sz w:val="20"/>
        </w:rPr>
        <w:t>The Corporation’s original Certificate of Incorporation was filed on August 30, 2010. The Certificate of Incorporation was last amended and restated by the Amended and Restated Certificate of Incorporation on February 6, 2024 (together, the “</w:t>
      </w:r>
      <w:r>
        <w:rPr>
          <w:rFonts w:ascii="Times New Roman" w:hAnsi="Times New Roman"/>
          <w:color w:val="000000"/>
          <w:sz w:val="20"/>
          <w:u w:val="single"/>
        </w:rPr>
        <w:t>Certificate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Corporation’s Board of Directors and stockholders, acting in accordance with the provisions of Sections 141 and 242 of the DGCL, adopted resolutions approving the following amendments to the Certificate:</w:t>
      </w:r>
    </w:p>
    <w:p>
      <w:pPr>
        <w:pStyle w:val="TextBody"/>
        <w:bidi w:val="0"/>
        <w:jc w:val="both"/>
        <w:rPr>
          <w:rFonts w:ascii="Times New Roman" w:hAnsi="Times New Roman"/>
          <w:sz w:val="20"/>
        </w:rPr>
      </w:pPr>
      <w:r>
        <w:rPr>
          <w:rFonts w:ascii="Times New Roman" w:hAnsi="Times New Roman"/>
          <w:color w:val="000000"/>
          <w:sz w:val="20"/>
        </w:rPr>
        <w:t>Effective as of the effective time of 5:00 p.m., Eastern Time, on [●], 2026 (the “</w:t>
      </w:r>
      <w:r>
        <w:rPr>
          <w:rFonts w:ascii="Times New Roman" w:hAnsi="Times New Roman"/>
          <w:color w:val="000000"/>
          <w:sz w:val="20"/>
          <w:u w:val="single"/>
        </w:rPr>
        <w:t>Effective Time</w:t>
      </w:r>
      <w:r>
        <w:rPr>
          <w:rFonts w:ascii="Times New Roman" w:hAnsi="Times New Roman"/>
          <w:color w:val="000000"/>
          <w:sz w:val="20"/>
        </w:rPr>
        <w:t>”), each five (5) / six (6) / seven (7) / eight (8) / nine (9) / ten (10) / eleven (11) / twelve (12) / thirteen (13) / fourteen (14) / fifteen (15)</w:t>
      </w:r>
      <w:r>
        <w:rPr>
          <w:rFonts w:ascii="Times New Roman" w:hAnsi="Times New Roman"/>
          <w:color w:val="000000"/>
          <w:sz w:val="13"/>
        </w:rPr>
        <w:t>1</w:t>
      </w:r>
      <w:r>
        <w:rPr>
          <w:rFonts w:ascii="Times New Roman" w:hAnsi="Times New Roman"/>
          <w:color w:val="000000"/>
          <w:sz w:val="20"/>
        </w:rPr>
        <w:t xml:space="preserve"> shares of the Corporation’s Common Stock, par value $0.00001 per share,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 w:hAnsi="Times New Roman"/>
          <w:color w:val="000000"/>
          <w:sz w:val="20"/>
          <w:u w:val="single"/>
        </w:rPr>
        <w:t>Reverse Split</w:t>
      </w:r>
      <w:r>
        <w:rPr>
          <w:rFonts w:ascii="Times New Roman" w:hAnsi="Times New Roman"/>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These amendments approve the combination of any whole number of shares of the Company’s Common Stock between and including five (5) and fifteen (15)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other provisions of the Certificate will remain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Certificate of Amendment has been duly adopted in accordance with the provisions of Section 242 of the DGCL.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This amendment to the Certificate of Incorporation shall be effective on and as of as of the effective time of 5:00 p.m., Eastern Time, on [●], 2026.</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br/>
      </w:r>
      <w:r>
        <w:rPr>
          <w:rFonts w:ascii="Times New Roman" w:hAnsi="Times New Roman"/>
          <w:smallCaps/>
          <w:color w:val="000000"/>
          <w:sz w:val="20"/>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Amended and Restated Certificate of Incorporation has been executed by a duly authorized officer of the Corporation on [●], 2026.</w:t>
      </w:r>
    </w:p>
    <w:p>
      <w:pPr>
        <w:pStyle w:val="TextBody"/>
        <w:bidi w:val="0"/>
        <w:jc w:val="left"/>
        <w:rPr>
          <w:rFonts w:ascii="Times New Roman" w:hAnsi="Times New Roman"/>
          <w:sz w:val="20"/>
        </w:rPr>
      </w:pPr>
      <w:r>
        <w:rPr>
          <w:rFonts w:ascii="Times New Roman" w:hAnsi="Times New Roman"/>
          <w:b/>
          <w:smallCaps/>
          <w:color w:val="000000"/>
          <w:sz w:val="20"/>
        </w:rPr>
        <w:t>Fractyl Health, Inc.</w:t>
      </w:r>
      <w:r>
        <w:rPr>
          <w:rFonts w:ascii="Times New Roman" w:hAnsi="Times New Roman"/>
          <w:smallCaps/>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Harith Rajagopalan</w:t>
      </w:r>
    </w:p>
    <w:p>
      <w:pPr>
        <w:pStyle w:val="TextBody"/>
        <w:bidi w:val="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4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6029325" cy="779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29325" cy="77914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SCAN TO VIEW MATERIALS &amp; VOTE FRACTYL HEALTH, INC. 3 VAN DE GRAAFF DRIVE, SUITE 200 BURLINGTON, MA 01803 VOTE BY INTERNET Before The Meeting - Go to www.proxyvote.com or scan the QR Barcode above Use the Internet to transmit your voting instructions and for electronic delivery of information up until 11:59 p.m. Eastern Time on September 23, 2026. Have your proxy card in hand when you access the web site and follow the instructions to obtain your records and to create an electronic voting instruction form. During The Meeting - Go to www.virtualshareholdermeeting.com/GUTS2026SM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September 23,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T03194-S47608 KEEP THIS PORTION FOR YOUR RECORDS THIS PROXY CARD IS VALID ONLY WHEN SIGNED AND DATED. DETACH AND RETURN THIS PORTION ONLY FRACTYL HEALTH, INC. The Board of Directors recommends that you vote FOR the following proposal: 1. To approve a series of alternate amendments to the Company's Amended and Restated Certificate of Incorporation to effect, at the option of the Company's Board of Directors, a reverse stock split of the Company's common stock at a ratio in the range of 1-for-5 to 1-for-15, inclusive, with such ratio to be determined by the Company's Board of Directors in its sole discretion. For Against Abstain NOTE: Such other business as may properly come before the meeting or any continuation,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pPr>
      <w:r>
        <w:rPr/>
        <w:drawing>
          <wp:inline distT="0" distB="0" distL="0" distR="0">
            <wp:extent cx="5743575" cy="7429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43575" cy="7429500"/>
                    </a:xfrm>
                    <a:prstGeom prst="rect">
                      <a:avLst/>
                    </a:prstGeom>
                  </pic:spPr>
                </pic:pic>
              </a:graphicData>
            </a:graphic>
          </wp:inline>
        </w:drawing>
      </w:r>
      <w:r>
        <w:rPr>
          <w:rFonts w:ascii="Times New Roman" w:hAnsi="Times New Roman"/>
          <w:color w:val="FFFFFF"/>
          <w:sz w:val="2"/>
        </w:rPr>
        <w:t>FRACTYL HEALTH, INC. SPECIAL MEETING OF STOCKHOLDERS SEPTEMBER 24, 2026 12:00 PM EDT THIS PROXY IS SOLICITED ON BEHALF OF THE BOARD OF DIRECTORS The stockholder(s) hereby appoint(s) Harith Rajagopalan, Lara Smith Weber and Sarah Toomey, or each of them, as proxies, each with the power to appoint his or her substitute, and hereby authorize(s) them to represent and to vote, as designated on the reverse side of this proxy, all of the shares of Common Stock of FRACTYL HEALTH, INC. that the stockholder(s) is/are entitled to vote at the Special Meeting of Stockholders to be held at 12:00 p.m. EDT, on September 24, 2026, virtually at www.virtualshareholdermeeting.com/GUTS2026SM, and any continuation, postponement, or adjournment thereof. Such proxies are authorized to vote in their discretion on any matter that the Board of Directors did not know would be presented at the Special Meeting by a reasonable time before the proxy solicitation was made, and on such other business as may properly be brought before the meeting or any adjournment, continuation, or postponement thereof. 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15634</Words>
  <Characters>79737</Characters>
  <CharactersWithSpaces>95314</CharactersWithSpaces>
  <Paragraphs>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