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FRACTYL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683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7,679,615.00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7,679,615.00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7,679,615.00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683 Capital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7,679,615.00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7,679,615.00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7,679,615.00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4.81 %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Ari Zweiman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7,679,615.00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7,679,615.00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7,679,615.00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FRACTYL HEALTH,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459"/>
        <w:spacing w:after="0"/>
        <w:rPr>
          <w:sz w:val="20"/>
          <w:szCs w:val="20"/>
          <w:color w:val="auto"/>
        </w:rPr>
      </w:pPr>
      <w:r>
        <w:rPr>
          <w:rFonts w:ascii="Times New Roman" w:cs="Times New Roman" w:eastAsia="Times New Roman" w:hAnsi="Times New Roman"/>
          <w:sz w:val="22"/>
          <w:szCs w:val="22"/>
          <w:color w:val="auto"/>
        </w:rPr>
        <w:t>3 VAN DE GRAAFF DRIVE, SUITE 200, BURLINGTON, MASSACHUSETTS 01803</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60"/>
        <w:spacing w:after="0" w:line="256" w:lineRule="auto"/>
        <w:rPr>
          <w:sz w:val="20"/>
          <w:szCs w:val="20"/>
          <w:color w:val="auto"/>
        </w:rPr>
      </w:pPr>
      <w:r>
        <w:rPr>
          <w:rFonts w:ascii="Times New Roman" w:cs="Times New Roman" w:eastAsia="Times New Roman" w:hAnsi="Times New Roman"/>
          <w:sz w:val="22"/>
          <w:szCs w:val="22"/>
          <w:color w:val="auto"/>
        </w:rPr>
        <w:t>683 Capital Management, LLC 683 Capital Partners, LP Ari Zweiman Each of the foregoing is referred to as a "Reporting Person" and collectively as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principal business address for each of the Reporting Persons is 1700 Broadway, Suite 4200, New York, New York 10019.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683 Capital Management, LLC - DELAWARE 683 Capital Partners, LP - DELAWARE Ari Zweiman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33" w:lineRule="exact"/>
        <w:rPr>
          <w:sz w:val="20"/>
          <w:szCs w:val="20"/>
          <w:color w:val="auto"/>
        </w:rPr>
      </w:pPr>
    </w:p>
    <w:p>
      <w:pPr>
        <w:jc w:val="both"/>
        <w:ind w:left="920" w:right="280"/>
        <w:spacing w:after="0" w:line="249" w:lineRule="auto"/>
        <w:rPr>
          <w:sz w:val="20"/>
          <w:szCs w:val="20"/>
          <w:color w:val="auto"/>
        </w:rPr>
      </w:pPr>
      <w:r>
        <w:rPr>
          <w:rFonts w:ascii="Times New Roman" w:cs="Times New Roman" w:eastAsia="Times New Roman" w:hAnsi="Times New Roman"/>
          <w:sz w:val="21"/>
          <w:szCs w:val="21"/>
          <w:color w:val="auto"/>
        </w:rPr>
        <w:t>As of March 31, 2026, 683 Capital Partners, LP beneficially owned (i) 6,727,235 shares of Common Stock and (ii) warrants to purchase 952,380 shares of Common Stock which are currently exercisable. 683 Capital Management, LLC, as the investment manager of 683 Capital Partners, LP, may be deemed to have beneficially owned the (i)</w:t>
      </w:r>
    </w:p>
    <w:p>
      <w:pPr>
        <w:ind w:left="920"/>
        <w:spacing w:after="0" w:line="231" w:lineRule="auto"/>
        <w:rPr>
          <w:sz w:val="20"/>
          <w:szCs w:val="20"/>
          <w:color w:val="auto"/>
        </w:rPr>
      </w:pPr>
      <w:r>
        <w:rPr>
          <w:rFonts w:ascii="Times New Roman" w:cs="Times New Roman" w:eastAsia="Times New Roman" w:hAnsi="Times New Roman"/>
          <w:sz w:val="22"/>
          <w:szCs w:val="22"/>
          <w:color w:val="auto"/>
        </w:rPr>
        <w:t>6,727,235 shares of Common Stock and (ii) warrants to purchase 952,380 shares of Common Stock which are</w:t>
      </w:r>
    </w:p>
    <w:p>
      <w:pPr>
        <w:spacing w:after="0" w:line="1" w:lineRule="exact"/>
        <w:rPr>
          <w:sz w:val="20"/>
          <w:szCs w:val="20"/>
          <w:color w:val="auto"/>
        </w:rPr>
      </w:pPr>
    </w:p>
    <w:p>
      <w:pPr>
        <w:ind w:left="920" w:hanging="912"/>
        <w:spacing w:after="0" w:line="207"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currently exercisable beneficially owned by 683 Capital Partners, LP. Ari Zweiman, as the Managing Member of 683 Capital Management, LLC, may be deemed to have beneficially owned (i) 6,727,235 shares of Common Stock and (ii) warrants to purchase 952,380 shares of Common Stock which are currently exercisable beneficially owned by 683 Capital Management, LLC. The following percentage is based on 158,648,963 shares of Common Stock outstanding per the Issuer's Form 10-K filed on March 24, 2026 plus 952,380 shares of Common Stock issuable upon exercise of currently exercisable warrants held by the Reporting Persons. As of May 15, 2026, the Reporting Persons may be deemed to have beneficially owned 7,679,615 shares of Common Stock, constituting approximately 4.81% of the outstanding shares of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355"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 to Schedule 13G as filed on October 14,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683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683 Capital Partners,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Ari Zweiman</w:t>
      </w:r>
    </w:p>
    <w:p>
      <w:pPr>
        <w:spacing w:after="0" w:line="152"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2026-05-15T09:25:23Z</dcterms:created>
  <dcterms:modified xsi:type="dcterms:W3CDTF">2026-05-15T09:25:23Z</dcterms:modified>
</cp:coreProperties>
</file>