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uts-20260930.htm"/>
      <w:bookmarkStart w:id="1" w:name="ksguts20260930"/>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30,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5.03 Amendments to Articles of Incorporation or Bylaws; Change in Fiscal Year.</w:t>
      </w:r>
    </w:p>
    <w:p>
      <w:pPr>
        <w:pStyle w:val="TextBody"/>
        <w:bidi w:val="0"/>
        <w:jc w:val="left"/>
        <w:rPr>
          <w:rFonts w:ascii="Times New Roman" w:hAnsi="Times New Roman"/>
          <w:color w:val="000000"/>
          <w:sz w:val="20"/>
        </w:rPr>
      </w:pPr>
      <w:r>
        <w:rPr>
          <w:rFonts w:ascii="Times New Roman" w:hAnsi="Times New Roman"/>
          <w:color w:val="000000"/>
          <w:sz w:val="20"/>
        </w:rPr>
        <w:t>On September 30, 2026, Fractyl Health, Inc. (the “Company”) filed a Certificate of Amendment to its Amended and Restated Certificate of Incorporation (the “Amendment”) with the Secretary of State of the State of Delaware to effect a one-for-twelve (1-for-12) reverse stock split (the “Reverse Stock Split”) of its outstanding common stock. The Amendment will be effective at 5:00 p.m. Eastern Time on October 2, 2026. A series of alternate amendments to effect a reverse stock split was approved by the Company’s stockholders at the Company’s Special Meeting of Stockholders held on September 24, 2026 and the specific one-for-twelve (1-for-12) Reverse Stock Split was subsequently approved by the Company’s board of directors on September 24, 2026.</w:t>
      </w:r>
    </w:p>
    <w:p>
      <w:pPr>
        <w:pStyle w:val="TextBody"/>
        <w:bidi w:val="0"/>
        <w:jc w:val="left"/>
        <w:rPr>
          <w:rFonts w:ascii="Times New Roman" w:hAnsi="Times New Roman"/>
          <w:color w:val="000000"/>
          <w:sz w:val="20"/>
        </w:rPr>
      </w:pPr>
      <w:r>
        <w:rPr>
          <w:rFonts w:ascii="Times New Roman" w:hAnsi="Times New Roman"/>
          <w:color w:val="000000"/>
          <w:sz w:val="20"/>
        </w:rPr>
        <w:t>The Amendment provides that, at the effective time of the Amendment, every twelve (12) shares of the Company’s issued and outstanding common stock will automatically be combined into one (1) issued and outstanding share of common stock, without any change in par value per share. The Reverse Stock Split will affect all shares of the Company’s common stock outstanding immediately prior to the effective time of the Amendment. As a result of the Reverse Stock Split, proportionate adjustments will be made to the per share exercise price and/or the number of shares issuable upon the exercise or vesting of all stock options issued by the Company and outstanding immediately prior to the effective time of the Amendment, which will result in a proportionate decrease in the number of shares of the Company’s common stock reserved for issuance upon exercise or vesting of such stock options and a proportionate increase in the exercise price of all such stock options. In addition, all outstanding restricted stock unit awards and warrants will be proportionately adjusted, and the number of shares reserved for issuance under the Company’s equity compensation plans immediately prior to the effective time of the Amendment will be reduced proportionately.</w:t>
      </w:r>
    </w:p>
    <w:p>
      <w:pPr>
        <w:pStyle w:val="TextBody"/>
        <w:bidi w:val="0"/>
        <w:jc w:val="left"/>
        <w:rPr>
          <w:rFonts w:ascii="Times New Roman" w:hAnsi="Times New Roman"/>
          <w:color w:val="000000"/>
          <w:sz w:val="20"/>
        </w:rPr>
      </w:pPr>
      <w:r>
        <w:rPr>
          <w:rFonts w:ascii="Times New Roman" w:hAnsi="Times New Roman"/>
          <w:color w:val="000000"/>
          <w:sz w:val="20"/>
        </w:rPr>
        <w:t>No fractional shares will be issued as a result of the Reverse Stock Split. Stockholders of record who would otherwise be entitled to receive a fractional share will receive a cash payment in lieu thereof. The Reverse Stock Split will affect all stockholders proportionately and will not affect any stockholder’s percentage ownership of the Company’s common stock (except to the extent that the Reverse Stock Split results in any stockholder owning only a fractional share).</w:t>
      </w:r>
    </w:p>
    <w:p>
      <w:pPr>
        <w:pStyle w:val="TextBody"/>
        <w:bidi w:val="0"/>
        <w:jc w:val="left"/>
        <w:rPr>
          <w:rFonts w:ascii="Times New Roman" w:hAnsi="Times New Roman"/>
          <w:color w:val="000000"/>
          <w:sz w:val="20"/>
        </w:rPr>
      </w:pPr>
      <w:r>
        <w:rPr>
          <w:rFonts w:ascii="Times New Roman" w:hAnsi="Times New Roman"/>
          <w:color w:val="000000"/>
          <w:sz w:val="20"/>
        </w:rPr>
        <w:t>The Company’s common stock will begin trading on The Nasdaq Global Market on a split-adjusted basis when the market opens on October 5, 2026. The new CUSIP number for the Company’s common stock following the Reverse Stock Split is 35168W202.</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description is qualified in its entirety by the Amendment, which is filed as Exhibit 3.1 to this Current Report on Form 8-K and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(d) Exhibits </w:t>
      </w:r>
    </w:p>
    <w:tbl>
      <w:tblPr>
        <w:tblW w:w="9471" w:type="dxa"/>
        <w:jc w:val="left"/>
        <w:tblInd w:w="0" w:type="dxa"/>
        <w:tblLayout w:type="fixed"/>
        <w:tblCellMar>
          <w:top w:w="28" w:type="dxa"/>
          <w:left w:w="28" w:type="dxa"/>
          <w:bottom w:w="28" w:type="dxa"/>
          <w:right w:w="28" w:type="dxa"/>
        </w:tblCellMar>
      </w:tblPr>
      <w:tblGrid>
        <w:gridCol w:w="1276"/>
        <w:gridCol w:w="109"/>
        <w:gridCol w:w="8086"/>
      </w:tblGrid>
      <w:tr>
        <w:trPr/>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tcBorders/>
            <w:tcMar>
              <w:top w:w="0" w:type="dxa"/>
              <w:left w:w="0" w:type="dxa"/>
              <w:bottom w:w="0" w:type="dxa"/>
              <w:right w:w="0" w:type="dxa"/>
            </w:tcMar>
            <w:vAlign w:val="center"/>
          </w:tcPr>
          <w:p>
            <w:pPr>
              <w:pStyle w:val="TableContents"/>
              <w:bidi w:val="0"/>
              <w:spacing w:before="0" w:after="283"/>
              <w:jc w:val="left"/>
              <w:rPr/>
            </w:pPr>
            <w:hyperlink w:anchor="guts-ex3_1.htm">
              <w:r>
                <w:rPr>
                  <w:rStyle w:val="InternetLink"/>
                  <w:rFonts w:ascii="Times New Roman" w:hAnsi="Times New Roman"/>
                  <w:color w:val="0000FF"/>
                  <w:sz w:val="20"/>
                  <w:u w:val="single"/>
                </w:rPr>
                <w:t>Certificate of Amendment to Amended and Restated Certificate of Incorporation of the Registrant.</w:t>
              </w:r>
            </w:hyperlink>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9274" w:type="dxa"/>
        <w:jc w:val="left"/>
        <w:tblInd w:w="0" w:type="dxa"/>
        <w:tblLayout w:type="fixed"/>
        <w:tblCellMar>
          <w:top w:w="28" w:type="dxa"/>
          <w:left w:w="28" w:type="dxa"/>
          <w:bottom w:w="28" w:type="dxa"/>
          <w:right w:w="28" w:type="dxa"/>
        </w:tblCellMar>
      </w:tblPr>
      <w:tblGrid>
        <w:gridCol w:w="556"/>
        <w:gridCol w:w="1411"/>
        <w:gridCol w:w="451"/>
        <w:gridCol w:w="6856"/>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8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68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8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sz w:val="20"/>
              </w:rPr>
            </w:pPr>
            <w:r>
              <w:rPr>
                <w:rFonts w:ascii="Times New Roman" w:hAnsi="Times New Roman"/>
                <w:b/>
                <w:color w:val="000000"/>
                <w:sz w:val="20"/>
              </w:rPr>
              <w:t>Harith Rajagopalan, M.D., Ph.D.</w:t>
            </w:r>
            <w:r>
              <w:rPr>
                <w:rFonts w:ascii="Times New Roman" w:hAnsi="Times New Roman"/>
                <w:color w:val="000000"/>
                <w:sz w:val="20"/>
              </w:rPr>
              <w:br/>
            </w:r>
            <w:r>
              <w:rPr>
                <w:rFonts w:ascii="Times New Roman" w:hAnsi="Times New Roman"/>
                <w:b/>
                <w:color w:val="000000"/>
                <w:sz w:val="20"/>
              </w:rPr>
              <w:t>Co-Founder, Chief Executive Officer and Director (Principal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guts-ex3_1.htm"/>
      <w:bookmarkStart w:id="3" w:name="ksgutsex3_1"/>
      <w:bookmarkEnd w:id="2"/>
      <w:bookmarkEnd w:id="3"/>
      <w:r>
        <w:rPr>
          <w:rFonts w:ascii="Times New Roman" w:hAnsi="Times New Roman"/>
          <w:color w:val="000000"/>
          <w:sz w:val="20"/>
        </w:rPr>
        <w:t>Exhibit 3.1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FRACTYL HEALTH, INC.</w:t>
      </w:r>
    </w:p>
    <w:p>
      <w:pPr>
        <w:pStyle w:val="TextBody"/>
        <w:bidi w:val="0"/>
        <w:spacing w:before="0" w:after="240"/>
        <w:jc w:val="both"/>
        <w:rPr>
          <w:rFonts w:ascii="Times New Roman" w:hAnsi="Times New Roman"/>
          <w:sz w:val="20"/>
        </w:rPr>
      </w:pPr>
      <w:r>
        <w:rPr>
          <w:rFonts w:ascii="Times New Roman" w:hAnsi="Times New Roman"/>
          <w:color w:val="000000"/>
          <w:sz w:val="20"/>
        </w:rPr>
        <w:t>Fractyl Health, Inc., a corporation organized and existing under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certifies: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sz w:val="20"/>
        </w:rPr>
      </w:pPr>
      <w:r>
        <w:rPr>
          <w:rFonts w:ascii="Times New Roman" w:hAnsi="Times New Roman"/>
          <w:color w:val="000000"/>
          <w:sz w:val="20"/>
        </w:rPr>
        <w:t>The name of the corporation is Fractyl Health, Inc. (the “</w:t>
      </w:r>
      <w:r>
        <w:rPr>
          <w:rFonts w:ascii="Times New Roman" w:hAnsi="Times New Roman"/>
          <w:color w:val="000000"/>
          <w:sz w:val="20"/>
          <w:u w:val="single"/>
        </w:rPr>
        <w:t>Corporation</w:t>
      </w:r>
      <w:r>
        <w:rPr>
          <w:rFonts w:ascii="Times New Roman" w:hAnsi="Times New Roman"/>
          <w:color w:val="000000"/>
          <w:sz w:val="20"/>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sz w:val="20"/>
        </w:rPr>
      </w:pPr>
      <w:r>
        <w:rPr>
          <w:rFonts w:ascii="Times New Roman" w:hAnsi="Times New Roman"/>
          <w:color w:val="000000"/>
          <w:sz w:val="20"/>
        </w:rPr>
        <w:t>The Corporation’s original Certificate of Incorporation was filed on August 30, 2010. The Certificate of Incorporation was last amended and restated by the Amended and Restated Certificate of Incorporation on February 6, 2024 (together, the “</w:t>
      </w:r>
      <w:r>
        <w:rPr>
          <w:rFonts w:ascii="Times New Roman" w:hAnsi="Times New Roman"/>
          <w:color w:val="000000"/>
          <w:sz w:val="20"/>
          <w:u w:val="single"/>
        </w:rPr>
        <w:t>Certificate</w:t>
      </w:r>
      <w:r>
        <w:rPr>
          <w:rFonts w:ascii="Times New Roman" w:hAnsi="Times New Roman"/>
          <w:color w:val="000000"/>
          <w:sz w:val="20"/>
        </w:rPr>
        <w: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Corporation’s Board of Directors and stockholders, acting in accordance with the provisions of Sections 141 and 242 of the DGCL, adopted resolutions approving the following amendments to the Certificate:</w:t>
      </w:r>
    </w:p>
    <w:p>
      <w:pPr>
        <w:pStyle w:val="TextBody"/>
        <w:bidi w:val="0"/>
        <w:jc w:val="both"/>
        <w:rPr>
          <w:rFonts w:ascii="Times New Roman" w:hAnsi="Times New Roman"/>
          <w:sz w:val="20"/>
        </w:rPr>
      </w:pPr>
      <w:r>
        <w:rPr>
          <w:rFonts w:ascii="Times New Roman" w:hAnsi="Times New Roman"/>
          <w:color w:val="000000"/>
          <w:sz w:val="20"/>
        </w:rPr>
        <w:t>Effective as of the effective time of 5:00 p.m., Eastern Time, on October 2, 2026 (the “</w:t>
      </w:r>
      <w:r>
        <w:rPr>
          <w:rFonts w:ascii="Times New Roman" w:hAnsi="Times New Roman"/>
          <w:color w:val="000000"/>
          <w:sz w:val="20"/>
          <w:u w:val="single"/>
        </w:rPr>
        <w:t>Effective Time</w:t>
      </w:r>
      <w:r>
        <w:rPr>
          <w:rFonts w:ascii="Times New Roman" w:hAnsi="Times New Roman"/>
          <w:color w:val="000000"/>
          <w:sz w:val="20"/>
        </w:rPr>
        <w:t>”), each twelve (12) shares of the Corporation’s Common Stock, par value $0.00001 per share,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 w:hAnsi="Times New Roman"/>
          <w:color w:val="000000"/>
          <w:sz w:val="20"/>
          <w:u w:val="single"/>
        </w:rPr>
        <w:t>Reverse Split</w:t>
      </w:r>
      <w:r>
        <w:rPr>
          <w:rFonts w:ascii="Times New Roman" w:hAnsi="Times New Roman"/>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rFonts w:ascii="Times New Roman" w:hAnsi="Times New Roman"/>
          <w:color w:val="000000"/>
          <w:sz w:val="20"/>
        </w:rPr>
      </w:pPr>
      <w:r>
        <w:rPr>
          <w:rFonts w:ascii="Times New Roman" w:hAnsi="Times New Roman"/>
          <w:color w:val="000000"/>
          <w:sz w:val="20"/>
        </w:rPr>
        <w:t>All other provisions of the Certificate will remain in full force and effect.</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rFonts w:ascii="Times New Roman" w:hAnsi="Times New Roman"/>
          <w:color w:val="000000"/>
          <w:sz w:val="20"/>
        </w:rPr>
      </w:pPr>
      <w:r>
        <w:rPr>
          <w:rFonts w:ascii="Times New Roman" w:hAnsi="Times New Roman"/>
          <w:color w:val="000000"/>
          <w:sz w:val="20"/>
        </w:rPr>
        <w:t>This Certificate of Amendment has been duly adopted in accordance with the provisions of Section 242 of the DGCL.</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This amendment to the Certificate of Incorporation shall be effective on and as of as of the effective time of 5:00 p.m., Eastern Time, on October 2, 2026.</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smallCaps/>
          <w:color w:val="000000"/>
          <w:sz w:val="20"/>
        </w:rPr>
        <w:br/>
      </w:r>
      <w:r>
        <w:rPr>
          <w:rFonts w:ascii="Times New Roman" w:hAnsi="Times New Roman"/>
          <w:smallCaps/>
          <w:color w:val="000000"/>
          <w:sz w:val="20"/>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Amended and Restated Certificate of Incorporation has been executed by a duly authorized officer of the Corporation on October 2, 2026.</w:t>
      </w:r>
    </w:p>
    <w:p>
      <w:pPr>
        <w:pStyle w:val="TextBody"/>
        <w:bidi w:val="0"/>
        <w:jc w:val="left"/>
        <w:rPr>
          <w:rFonts w:ascii="Times New Roman" w:hAnsi="Times New Roman"/>
          <w:sz w:val="20"/>
        </w:rPr>
      </w:pPr>
      <w:r>
        <w:rPr>
          <w:rFonts w:ascii="Times New Roman" w:hAnsi="Times New Roman"/>
          <w:b/>
          <w:smallCaps/>
          <w:color w:val="000000"/>
          <w:sz w:val="20"/>
        </w:rPr>
        <w:t>Fractyl Health, Inc.</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Harith Rajagopalan </w:t>
      </w:r>
    </w:p>
    <w:p>
      <w:pPr>
        <w:pStyle w:val="TextBody"/>
        <w:bidi w:val="0"/>
        <w:jc w:val="left"/>
        <w:rPr>
          <w:rFonts w:ascii="Times New Roman" w:hAnsi="Times New Roman"/>
          <w:color w:val="000000"/>
          <w:sz w:val="20"/>
        </w:rPr>
      </w:pPr>
      <w:r>
        <w:rPr>
          <w:rFonts w:ascii="Times New Roman" w:hAnsi="Times New Roman"/>
          <w:color w:val="000000"/>
          <w:sz w:val="20"/>
        </w:rPr>
        <w:t>Name: Harith Rajagopalan, M.D., PhD.</w:t>
      </w:r>
    </w:p>
    <w:p>
      <w:pPr>
        <w:pStyle w:val="TextBody"/>
        <w:bidi w:val="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1590</Words>
  <Characters>8645</Characters>
  <CharactersWithSpaces>10213</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